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32.2022.32 vom 19. April 2022</w:t>
      </w:r>
    </w:p>
    <w:p>
      <w:r>
        <w:t>TI Tribunale d'appello, 2022-04-19, IT</w:t>
      </w:r>
    </w:p>
    <w:p>
      <w:r>
        <w:rPr>
          <w:b/>
        </w:rPr>
        <w:t xml:space="preserve">Quelle: </w:t>
      </w:r>
      <w:r>
        <w:t>https://mcp.opencaselaw.ch/entscheid/ti_gerichte_32.2022.32</w:t>
      </w:r>
    </w:p>
    <w:p>
      <w:r>
        <w:t>FR: TI_GERICHTE 32.2022.32 du 19 avril 2022</w:t>
      </w:r>
    </w:p>
    <w:p>
      <w:r>
        <w:t>IT: TI_GERICHTE 32.2022.32 del 19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LAVS).</w:t>
      </w:r>
    </w:p>
    <w:p>
      <w:r>
        <w:t>Secondo lart. 29ter cpv. 2 LAVS sono considerati anni di contribuzione i periodi, durante i quali:</w:t>
      </w:r>
    </w:p>
    <w:p>
      <w:r>
        <w:t>-  una persona ha pagato i contributi (lett. a);</w:t>
      </w:r>
    </w:p>
    <w:p>
      <w:r>
        <w:t>-  il suo coniuge, secondo lart.</w:t>
      </w:r>
    </w:p>
    <w:p>
      <w:r>
        <w:rPr>
          <w:b/>
        </w:rPr>
        <w:t>E. 3</w:t>
      </w:r>
    </w:p>
    <w:p>
      <w:r>
        <w:t>capoverso 3 LAVS, ha versato almeno il doppio del contributo minimo (lett. b);</w:t>
      </w:r>
    </w:p>
    <w:p>
      <w:r>
        <w:t>-  possono essere computati accrediti per compiti educativi o dassistenza (lett. c).</w:t>
      </w:r>
    </w:p>
    <w:p>
      <w:r>
        <w:t>Inoltre, la rendita è calcolata in base al reddito annuo medio (RAM) dell'assicurato (art. 29 quater LAVS).</w:t>
      </w:r>
    </w:p>
    <w:p>
      <w:r>
        <w:t>Esso si compone:</w:t>
      </w:r>
    </w:p>
    <w:p>
      <w:r>
        <w:t>-  dei redditi risultanti da unattività lucrativa (lett. a);</w:t>
      </w:r>
    </w:p>
    <w:p>
      <w:r>
        <w:t>-  degli accrediti per compiti educativi (lett. b);</w:t>
      </w:r>
    </w:p>
    <w:p>
      <w:r>
        <w:t>-  degli accrediti per compiti assistenziali (lett. c).</w:t>
      </w:r>
    </w:p>
    <w:p>
      <w:r>
        <w:t>La somma dei redditi dellattività lucrativa deve essere rivalutata secondo il fattore di cui all'art. 51bis cpv. 1 OAVS (art. 30 cpv. 1 e art. 33ter LAVS).</w:t>
      </w:r>
    </w:p>
    <w:p>
      <w:r>
        <w:t>Il reddito annuo medio è determinato sommando i redditi da attività lucrativa rivalutati e gli accrediti per compiti educativi e assistenziali e divisi per il numero di anni di contribuzione (art. 30 cpv. 2 LAVS).</w:t>
      </w:r>
    </w:p>
    <w:p>
      <w:r>
        <w:t>Sono presi in considerazione unicamente i redditi da unattività lucrativa sui quali sono stati versati i contributi (art. 29quinquies cpv. 1 LAVS).</w:t>
      </w:r>
    </w:p>
    <w:p>
      <w:r>
        <w:t>I contributi delle persone che non hanno esercitato unattività lucrativa vengono moltiplicati per 100 e in seguito divisi per il doppio del tasso di contribuzione previsto dallart. 5 capoverso 1; essi sono computati come reddito di unattività lucrativa (art. 29quinquies cpv. 2 LAVS).</w:t>
      </w:r>
    </w:p>
    <w:p>
      <w:r>
        <w:t>Secondo lart. 29quinquies cpv. 3 LAVS, i redditi che i coniugi hanno conseguito durante gli anni civili di matrimonio comune sono ripartiti e attribuiti per metà a ciascun coniuge se:</w:t>
      </w:r>
    </w:p>
    <w:p>
      <w:r>
        <w:t>-  entrambi i coniugi hanno diritto alla rendita (lett. a);</w:t>
      </w:r>
    </w:p>
    <w:p>
      <w:r>
        <w:t>-  una persona vedova ha diritto a una rendita di vecchiaia (lett. b);</w:t>
      </w:r>
    </w:p>
    <w:p>
      <w:r>
        <w:t>-  il matrimonio è stato sciolto mediante divorzio (lett. c).</w:t>
      </w:r>
    </w:p>
    <w:p>
      <w:r>
        <w:t>Tuttavia sottostanno alla ripartizione e allattribuzione reciproca soltanto i redditi conseguiti:</w:t>
      </w:r>
    </w:p>
    <w:p>
      <w:r>
        <w:t>-  tra il 1° gennaio che segue il compimento del 20.o anno di età e il 31 dicembre che precede linsorgere dellevento assicurativo da parte del coniuge che ha per primo diritto alla rendita (art. 29quinquies cpv. 4 lett. a LAVS) e</w:t>
      </w:r>
    </w:p>
    <w:p>
      <w:r>
        <w:t>-  in periodi durante i quali entrambi i coniugi sono stati assicurati presso lassicurazione svizzera per la vecchiaia e i superstiti (art. 29quinquies cpv.</w:t>
      </w:r>
    </w:p>
    <w:p>
      <w:r>
        <w:rPr>
          <w:b/>
        </w:rPr>
        <w:t>E. 4</w:t>
      </w:r>
    </w:p>
    <w:p>
      <w:r>
        <w:t>e 5; DTF 117 V 261, consid. 3a).</w:t>
      </w:r>
    </w:p>
    <w:p>
      <w:r>
        <w:t>Inoltre lo stesso insorgente, dopo aver ricevuto la STCA 35.2004.34 del 15 dicembre 2004, non risulta essersi fatto parte attiva per chiedere liscrizione del reddito nel suo conto individuale.</w:t>
      </w:r>
    </w:p>
    <w:p>
      <w:r>
        <w:t>In queste condizioni non vi è alcun motivo per procedere ad una modifica delliscrizione del salario nel conto individuale del ricorrente.</w:t>
      </w:r>
    </w:p>
    <w:p>
      <w:r>
        <w:t>2.6.  Infine, va evidenziato che, seppure in un altro contesto (assicurato al beneficio di una rendita AI parziale, che per la parte di abilità lavorativa lavora e paga i contributi e poi in seguito ad un peggioramento del suo stato di salute ottiene laumento della rendita AI), il Tribunale federale ha confermato che di principio se il grado dinvalidità viene aumentato, per la nuova rendita sono determinanti le stesse basi di calcolo utilizzate per quella vecchia (scala delle rendite e reddito annuo medio determinante; DTF 147 V 133; DTF 126 V 157). Secondo lAlta Corte la modifica del grado dinvalidità e laumento del diritto alla rendita che ne deriva in caso di aggravamento dello stato di salute costituiscono un caso di revisione ai sensi dellart. 17 LPGA (consid. 5.1) e non un nuovo caso di assicurazione (consid. 5.3). Conformemente alla giurisprudenza e alla prassi amministrativa costanti, si giustifica di applicare per la determinazione del nuovo importo della rendita le stesse basi di calcolo applicate finora, anche se i redditi realizzati dallassicurato nel frattempo sono aumentati notevolmente.</w:t>
      </w:r>
    </w:p>
    <w:p>
      <w:r>
        <w:t>In concreto si tratta degli elementi di calcolo (scala di rendita parziale 41, reddito annuo determinante di fr. 26'790 [nel 2018, aggiornato a fr. 27'246 al 1° gennaio 2021] e durata contributiva computabile di 27 anni e 8 mesi), già fissati e ritenuti corretti con la STCA 32.2019.29 del 27 gennaio 2020 (consid. 2.11 e 2.12), cresciuta incontestata in giudicato.</w:t>
      </w:r>
    </w:p>
    <w:p>
      <w:r>
        <w:t>Alla luce di tutto quanto sopra esposto, non vi è alcun motivo per scostarsi dallimporto riconosciuto dalla Cassa.</w:t>
      </w:r>
    </w:p>
    <w:p>
      <w:r>
        <w:t>Il ricorso va respinto e la decisione impugnata confermata.</w:t>
      </w:r>
    </w:p>
    <w:p>
      <w:r>
        <w:t>2.7.  Linsorgente con il ricorso chiede lacquisizione dellincarto 35.2004.34 sfociato nella STCA del 15 dicembre 2004 e la propria audizione.</w:t>
      </w:r>
    </w:p>
    <w:p>
      <w:r>
        <w:t>Questo Tribunale rinuncia allassunzione di ulteriori prove giacché i fatti alla base della presente vertenza sono stati provati tramite la documentazione prodotta dalle parti e non contestata nel suo contenuto.</w:t>
      </w:r>
    </w:p>
    <w:p>
      <w:r>
        <w:t>Lacquisizione dellincarto 35.2004.34 è superflua alla luce del chiaro contenuto della sentenza del 15 dicembre 2004 (cfr. consid. 2.3 e seguenti).</w:t>
      </w:r>
    </w:p>
    <w:p>
      <w:r>
        <w:t>Va qui rammentato che conformemente, alla costante giurisprudenza, qualora l'istruttoria da effettuare d'ufficio conduca l'amministrazione o il giudice, in base a un apprezzamento coscienzioso delle prove, alla convinzione che la probabilità di determinati fatti deve essere considerata predominante e che altri provvedimenti probatori più non potrebbero modificare il risultato (valutazione anticipata delle prove), si rinuncerà ad assumere altre prove (cfr. STF 9C_96/2022 dell8 agosto 2022, consid. 7; STF 8C_139/2019 del 18 giugno 2019 consid. 3.3.; STF 9C_847/2017 del 31 maggio 2018 consid. 5.1.; STF 9C_35/2018 del 29 marzo 2018 consid. 6; STF 9C_588/2017 del 21 novembre 2017 consid. 7.2.; STF 9C_775/2016 del 2 giugno 2017 consid. 6.4.; STF 8C_794/2016 del 28 aprile 2017 consid. 4.2.; STF 9C_737/2012 del 19 marzo 2013; STF 8C_556/2010 del 24 gennaio 2011 consid. 9), senza che ciò costituisca una lesione del diritto di essere sentito sancito dall'art. 29 cpv. 2 Cost. (cfr. DTF 124 V 94 consid. 4b; 122 V 162 consid. 1d e sentenza ivi citata).</w:t>
      </w:r>
    </w:p>
    <w:p>
      <w:r>
        <w:t>Inoltre, per quanto concerne laudizione del ricorrente, va rilevato che per l'art. 6 n. 1 CEDU, ogni persona ha diritto a un'equa e pubblica udienza entro un termine ragionevole, davanti a un tribunale indipendente e imparziale costituito per legge, al fine della determinazione sia dei suoi diritti e dei suoi doveri di carattere civile, sia della fondatezza di ogni accusa penale che gli venga rivolta.</w:t>
      </w:r>
    </w:p>
    <w:p>
      <w:r>
        <w:t>Nel campo di applicazione dellart. 6 CEDU rientrano anche i litigi relativi a prestazioni delle assicurazioni sociali e dellassistenza sociale (cfr. STF 8C_522/2012 del 2 novembre 2012 consid. 2.3.).</w:t>
      </w:r>
    </w:p>
    <w:p>
      <w:r>
        <w:t>Secondo la giurisprudenza del Tribunale federale, confermata in DTF 122 V 54 seg. consid. 3, la pubblicità del dibattimento, imposta dall'art. 6 n. 1 CEDU ed ormai ancorata anche nella Costituzione svizzera all'art. 30 cpv. 3, dev'essere principalmente garantita nella procedura di ricorso di prima istanza (cfr. STF 8C_504/2010 del 2 febbraio 2011). Tuttavia, lo svolgimento di un pubblico dibattimento in materia di assicurazioni sociali presuppone l'esistenza di una richiesta chiara e inequivocabile di una parte nel corso della procedura ricorsuale di prima istanza (cfr. STF 8C_751/2019 del 25 febbraio 2020 consid. 2.1.; STF 8C_722/2019 del 20 febbraio 2020 consid. 2.1.; STF 8C_63/2019, 8C_65/2019 dell11 giugno 2019 consid. 5.1.; STF 8C_528/2017 del 19 dicembre 2017 consid. 1.3., pubblicata in SJ 2018 I 275; STF 8C_186/2017 del 1° settembre 2017 consid. 2.3.; STF 8C_665/2014 del 23 marzo 2015 consid. 4; STF 9C_578/2008 del 29 maggio 2009 consid. 4.8.; DTF 122 V 55 consid. 3a con riferimenti).</w:t>
      </w:r>
    </w:p>
    <w:p>
      <w:r>
        <w:t>Una semplice richiesta di assunzione di prove, come ad esempio istanze di audizione personale  nella misura in cui si traducono in una richiesta di interrogatorio nel senso di unassunzione di prove, ma non invece se tendono a esporre il proprio punto di vista personale sulle risultanze probatorie davanti a un tribunale indipendente  o di interrogatorio delle parti o di testimoni, oppure richieste di sopralluogo, non bastano per creare un simile obbligo (cfr. STF 9C_903/2011 del 25 gennaio 2013 consid. 6.3.; SVR 2009 IV Nr. 22 pag. 62; DTF 125 V 38 consid. 2).</w:t>
      </w:r>
    </w:p>
    <w:p>
      <w:r>
        <w:t>LAlta Corte ha, inoltre, stabilito che il rifiuto di differire un'udienza pubblica fondato su motivi obiettivi non è in contrasto con il diritto federale e, in particolare, con l'art. 6 n. 1 CEDU (sul tema cfr. tuttavia DTF 136 I 279; DTF 127 V 491; STF 8C_504/2010 succitata).</w:t>
      </w:r>
    </w:p>
    <w:p>
      <w:r>
        <w:t>In proposito cfr. pure STCA 38.2018.31 del 12 ottobre 2018 consid. 2.7.; STCA 38.2018.39 del 10 ottobre 2018 consid. 2.8.</w:t>
      </w:r>
    </w:p>
    <w:p>
      <w:r>
        <w:t>Nella presente evenienza - contrariamente a quanto esige la giurisprudenza federale -, la parte ricorrente non ha formulato un'esplicita richiesta di indire un pubblico dibattimento, ma ha chiesto lassunzione di una nuova prova.</w:t>
      </w:r>
    </w:p>
    <w:p>
      <w:r>
        <w:t>Del resto, in ossequio dellart. 29 cpv. 2 Cost, il ricorrente ha potuto far valere le proprie argomentazioni per iscritto (cfr. STF 8C_550/2017 del 12 gennaio 2018) e la documentazione già presente agli atti consente al TCA di emanare il proprio giudizio(valutazione anticipata delle prove;STF 9C_96/2022 dell8 agosto 2022, consid. 7;STF 9C_569/2020 del 4 gennaio 2022, consid. 3.2;STF 8C_139/2019 del 18 giugno 2019 consid. 3.3.; STF 9C_847/2017 del 31 maggio 2018 consid. 5.1.; STF 9C_35/2018 del 29 marzo 2018 consid. 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