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32.2022.24 vom 15. März 2022</w:t>
      </w:r>
    </w:p>
    <w:p>
      <w:r>
        <w:t>TI Tribunale d'appello, 2022-03-15, IT</w:t>
      </w:r>
    </w:p>
    <w:p>
      <w:r>
        <w:rPr>
          <w:b/>
        </w:rPr>
        <w:t xml:space="preserve">Quelle: </w:t>
      </w:r>
      <w:r>
        <w:t>https://mcp.opencaselaw.ch/entscheid/ti_gerichte_32.2022.24</w:t>
      </w:r>
    </w:p>
    <w:p>
      <w:r>
        <w:t>FR: TI_GERICHTE 32.2022.24 du 15 mars 2022</w:t>
      </w:r>
    </w:p>
    <w:p>
      <w:r>
        <w:t>IT: TI_GERICHTE 32.2022.24 del 15 marzo 2022</w:t>
      </w:r>
    </w:p>
    <w:p>
      <w:pPr>
        <w:pStyle w:val="Heading2"/>
      </w:pPr>
      <w:r>
        <w:t>Regeste</w:t>
      </w:r>
    </w:p>
    <w:p>
      <w:r>
        <w:t>Rendita temporanea. Confermata la valutazione medico-teorica del SMR. Conferma del grado d'invalidità</w:t>
      </w:r>
    </w:p>
    <w:p>
      <w:pPr>
        <w:pStyle w:val="Heading2"/>
      </w:pPr>
      <w:r>
        <w:t>Erwägungen</w:t>
      </w:r>
    </w:p>
    <w:p>
      <w:r>
        <w:rPr>
          <w:b/>
        </w:rPr>
        <w:t>E. 39</w:t>
      </w:r>
    </w:p>
    <w:p>
      <w:r>
        <w:t>cpv. 1 LPGA, applicabile anche nella procedura ricorsuale a seguito del rinvio di cui all’art. 60 cpv. 2 LPGA). Un invio raccomandato è reputato notificato al momento in cui il destinatario l’ha ricevuto. Generalmente un secondo invio e la susseguente ricezione non modificano tale risultato; essi sono giuridicamente irrilevanti (DTF 119 V 94 cosi. 4b/aa con riferimenti). Eccezione va fatta nel caso in cui l'autorità notifica di nuovo, senza riserve , una decisione contenente un'indicazione del rimedio giuridico prima che sia scaduto il termine originario. In questa evenienza, il termine di ricorso è calcolato a partire dalla seconda notificazione, sempreché siano adempiute le condizioni relative all'applicazione del principio costituzionale della protezione della buona fede (cfr. STF 9C_102/2016 del 21 marzo 2016 consid. 2; STF I 366/04 del 27 aprile 2005; DTF 115 Ia 18 consid. 4). La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STF 9C_667/2019 del 7 gennaio 2020; STF 8C_53/2017 del 2 marzo 2017 consid. 4.2.; DTF 127 I 31 consid. 2; DTF 119 V 94 consid. 4b/aa; DTF 117 V 132 consid. 4a; DTF 116 Ia 92 consid. 2a; STFA H 61/00 del 9 agosto 2001). Infine, secondo la giurisprudenza, l’onere della prova dell’avvenuta notifica di una decisione incombe all’autorità amministrativa (DTF 115 V 113 con riferimenti). Qualora la notifica o la relativa data siano contestate, in caso di dubbio fa stato la versione fornita dal destinatario (DTF 103 V 66 consid. 2a). Nel caso in esame, il legale dell’insorgente sostiene che il suo cliente ha ricevuto la decisione 15 marzo 2022, inviata per posta semplice, il giorno successivo. Considerate le ferie giudiziarie pasquali, rileva che il termine di 30 giorni per inoltrare ricorso scadeva il 30 aprile 2022 (sabato) e visto che il 1° maggio 2022 era una domenica (oltre ad essere festivo), il termine di scadenza veniva riportato al primo giorno feriale successivo, ossia il 2 maggio 2022, motivo per cui il ricorso è tempestivo. Con la risposta di causa, l’Ufficio AI ha fatto presente di non essere in grado di accertare la data di ricezione da parte dell’assicurato della decisione contestata perché inviata per posta semplice. Viste le ferie giudiziali, ritiene comunque che il ricorso dovrebbe essere tempestivo. Siccome non vi sono motivi per dubitare della versione del ricorrente, la decisione contestata è da ritenere notificata il giorno successivo all’emissione (16 marzo 2022), motivo per cui il termine ricorsuale decorreva dal 17 marzo 2022 (art. 38 cpv. 1 LPGA). Tenuto conto del termine di ricorso di 30 giorni dalla notifica del provvedimento impugnato (art. 60 cpv.1 LPGA), nonché delle ferie giudiziarie di Pasqua (art. 38 cpv. 4 lett. a LPGA), il termine scadeva sabato 30 aprile 2022. Prolungato al successivo giorno feriale, il termine per ricorrere scadeva il 2 maggio 2022, giorno in cui il ricorso è stato consegnato all’ufficio postale (vedi etichetta postale, cfr. art. 39 cpv. 1 LPGA di cui al rinvio dell’art. 60 cpv. 1 LPGA). Ne consegue che il ricorso è tempestivo. nel merito 2.2.  Oggetto del contendere è sapere se a ragione o meno l’Ufficio AI ha riconosciuto all’assicurato una rendita intera dal 1° febbraio 2021, ridotta a mezza rendita dal 1° ottobre 2021. Va qui rilevato che il 1° gennaio 2022 è entrata in vigore una (importante) modifica della LAI e dell’OAI che concerne (anche) il diritto alla rendita (cfr. RU 2021 705).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Tornando alla modifica legislativa di cui sopra, si rileva che il calcolo delle rendite, il cui diritto era sorto sotto l’egida del precedente sistema, viene effettuato secondo il nuovo sistema se nell’ambito di una revisione il grado d’invalidità subisce una modificazione ai sensi dell’art. 17 cpv. 1 LPGA (ossia di almeno 5% o un aumento fino al 100%) e l’assicurato, al momento dell’entrata in vigore della modifica legislativa di cui sopra, non aveva ancora compiuto 55 anni (Disposizione transitoria lett. b cpv. 1 della modifica del 19 giugno 2020 (Ulteriore sviluppo dell’AI); cfr. anche Moser, Die Weiterentwicklung der Invalidenvorsorge in der Ersten und Zweiten Säule - «stufenloses» Rentensystem, vorsorgliche Leistungseinstellung, in: BVG-Tagung 2022 Aktuelle Fragen der beruflichen Vorsorge, pag. 7). In tal senso il marg. 9201 CIRAI (Circolare sull’invalidità e sulla rendita nell’assicurazione per l’invalidità, valida dal 1° gennaio 2022) prevede che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 Infine, secondo il marg. no. 9102 CIRAI in merito alla determinazione del diritto applicabile nel caso di prima concessione di rendite con quote decrescenti o a tempo determinato e casi di revisione, prevede “che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(v. N. 5500 segg.).” Nel caso concreto, siccome a seguito della decisione contestata, il diritto alla rendita e la relativa modifica (riduzione) sono sorti prima del 1° gennaio 2022, determinante è il diritto in vigore sino al 31 dicembre 2021, benché al momento della modifica legislativa l’assicurato (classe 1978) non aveva ancora compiuto 55 anni (cfr. Moser, op. cit., pag. 8).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w:t>
      </w:r>
    </w:p>
    <w:p>
      <w:r>
        <w:rPr>
          <w:b/>
        </w:rPr>
        <w:t>E. 41</w:t>
      </w:r>
    </w:p>
    <w:p>
      <w:r>
        <w:t>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2.5.  Nel caso concreto, dopo le osservazioni 25 maggio 2021 al progetto di decisione 10 maggio 2021 (doc. 100), l’assicurato ha prodotto nuovi atti medici (doc. 101) che sono stati valutati dal SMR. Con rapporto 9 agosto 2021 il medico SMR dr. med. Andreoli ha così riassunto la situazione medica: " (…) Aiuto cuoco, ora iscritto presso URC al 100% Esaustiva documentazione a dossier sia specialistica che da parte dr. __________ medico fiduciario del 1.7.2020 per IPG malattia. Situazione stabile dal lato puramente medico in trattamento conservativo (solo in parte palliativo) e che del ulteriore decorso si dovrà affrontare in modo chirurgico in base al decorso futuro. L'attuale attività resterà comunque controindicata in giustificata inabilità lavorativa totale mentre attività adeguate sono considerate esigibili nella forma subtotale per presenza di limitazioni per algie residuali. Dopo osservazioni al progetto Al e considerando le osservazioni esaustive del dr. __________ si reputa adeguato giustificare (considerando ulteriori patologie limitanti quali quadro retinico oculare compromesso, sindrome dello stretto toracico bilaterale e componente psichica ansiosa) una limitazione del 50% anche in attività adeguate ergonomicamente. Si ricorda inoltre che dalla nuova doc. il paziente è sottoposto ad infiltrazione cervicale alla __________ di __________ ad inizio giugno 2021. (…)” (pag. 375 inc. AI) Egli ha poi posto le seguenti diagnosi: " (…) 2.1 Diagnosi con ripercussione sulla capacità lavorativa (CL) Cod.infermità: 736         Danno funz.: 10 Canale cervicale stretto, mielopatia cervicale Sindrome di impingement spalla destra con possibile lesione cuffia dei rotatori Diabete mellito l in trattamento con pompa a insulinaretinopatia OS con distacco retinico su lacerazione retinica gigante (con stato da vitrectomia all'occhio sinistro ed endolaser praticato il 06.5.2021) e retinopatia non proliferante moderata, l'acuità visiva OS è ridotta a 0,32 senza correzione 2.2 Diagnosi senza ripercussione sulla CL Sindrome dello stretto toracico bilaterale Fibromialgia Sindrome ansiosa (…)” (pag. 376 inc. AI) Quale limitazioni funzionali il medico SMR ha evidenziato: " (…) 3.1. Limitazioni funzionali a) Carico max. Kg o Nessuna limitazione ý 5 Kg b) Alternazione della postura al bisogno o No ý Sì ý Inclusa o Non inclusa c) Difficoltà nello svolgere lavori di precisione ý No o Si o Inclusa o Non inclusa d) Necessità di pause supplementari ý No o Sì o Inclusa o Non inclusa 3.2. Ulteriori limiti e/o risorse Non dover costantemente restare con il capo rivolto verso l'alto (oggetti in altezza) Non dover sollevare pesi &gt; 5kg oltre l'orizzontale Non dover effettuare attività con turni lavorativi notturni in possibilità di mangiare al bisogno Non poter guidare veicoli professionali per trasporto di persone (…)” (pag. 377 inc. AI) Egli ha concluso per una totale inabilità nell’abituale attività dal 26 febbraio 2020, ritenendo tuttavia data dal 14 giugno 2021 (giorno del rapporto del dr. med. __________) un’abilità del 50% in attività adeguate (doc. 113). Con annotazioni 10 dicembre 2021 il SMR ha valutato il nuovo rapporto 6 dicembre 2021 del dr. med. __________, Caposervizio del Servizio di Neurologia all’Ospedale __________ di __________, nonché le convocazioni per l’esecuzione di una RM e ENMG, concludendo: " (…) La nuova documentazione inviata in fase di opposizione permette di considerare uno stato neurologico con irradiazione periferica in fase di accertamenti e a fine di gennaio 2022 dopo esame di TAC evt. proposizione di intervento decompressivo se del caso. In considerazione delle limitazioni già espresse nel RAF si considera l'Ato limitato al 50% in attività ergonomicamente adeguate e leggere (vedi RAF de 19.8.2021) per cui queste limitazioni restano ancora per noi vincolanti. Ovviamente si potrà rientrare in materia in caso di trattamento chirurgico decompressivo cervicale. (…)” (pag. 406 inc. AI) Con il presente ricorso l’assicurato contesta la succitata valutazione, in particolare per quel che concerne il miglioramento della capacità lavorativa.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Nella fattispecie in esame questo Tribunale, chiamato a verificare se lo stato di salute dell’assicurato è stato accuratamente vagliato dall’Ufficio AI, non ha motivo per mettere in dubbio i rapporti del medico SMR, il quale ha considerato tutta la documentazione presente nel dossier. L’insorgente non ha del resto prodotto atti medici che permettono di discostarsi dalle conclusioni a cui il citato sanitario è giunto. ll riferimento al rapporto 14 giugno 2021 del dr. med. __________ fatto dal ricorrente non modifica la valutazione della capacità lavorativa posta dal SMR. In primis il medico curante endrocrinologo rileva che “ la coesistenza di molteplici patologie mal compensate allo stato attuale non permettono al paziente di disporre di un’energia psicofisica tale da poter affrontare in ragione dell’80% attività adeguate allo stato attuale e rispettose di tutte le limitazioni funzional i” , elencando le note patologie somatiche. A mente del TCA, contrariamente a quanto sostiene il ricorrente, ciò non vuol dire che “nei fatti è abile al lavoro in misura sostanzialmente non superiore al 20%”. Secondo questa Corte il medico ha semplicemente escluso che il paziente, per motivi psicofisici, possa svolgere un’attività adeguata all’80% e nient’altro. Il dr. med. __________ ha in seguito concluso che il paziente è limitato in ragione del 100% in qualità di aiuto-cuoco/lavapiatti. Egli ha poi specificato che “allo stato attuale è limitato oltre il 50% in attività che comporti sforzi fisici in cui è impiegata in particolare la muscolatura della colonna vertebrale; in attività fisiche ripetitive anche se non comportano sollevamento di pesi oltre i 5 kg; attività che comportino assunzione di posizioni prolungate del corpo senza potersi muovere, impiego costante di forza muscolare sia a livello delle membra superiori che inferiori; attività d’ufficio o altro tipo di attività sedentaria in cui egli non possa adattare posizioni corporee e ritmo di lavoro secondo la sintomatologia algica e parestetica” . Secondo il medico queste limitazioni derivano in primo luogo dalla sindrome del canale cervicale stretto. Egli ha poi escluso che il paziente, causa insulinoterapia intensiva in atto, possa svolgere professioni in qualità di conducente di veicoli a motore, come pure attività professionali che comportano esercizio su impalcature, questo a causa del rischio di ipoglicemie” (doc. 105). Certo, il dr. med. __________ ha valutato in oltre il 50% l’incapacità lavorativa nelle summenzionate attività qualora non fossero rispettate le limitazioni esposte, senza aver specificato esattamente la percentuale di quelle adeguate. Tuttavia, secondo il TCA, può essere data adesione al SMR, il quale, come visto, nelle annotazioni 9 agosto 2021 ha valutato un’abilità del 50% in attività adeguate. In tale senso va poi fatto presente che, come si evince dallo scritto 26 ottobre 2021, __________, quale assicuratore perdita di guadagno in caso di malattia, ha ritenuto l’assicurato totalmente inabile quale cuoco, ma abile in attività adeguata al 50% dal 14 giugno 2021 , con versamento di un’indennità giornaliera del 42% (doc. 120). Non risulta e tantomeno è stato fatto valere che la decisione dell’assicurazione perdita di guadagno sia stata contestata. Inoltre, dal 15 marzo 2022 l’assicurato ha iniziato un’attività al 50% quale addetto alla manutenzione (cfr. contratto allegato alla risposta di causa), ulteriore motivo, questo, per ritenerlo abile al 50% in attività adeguate. Del resto, il ricorrente non ha sollevato alcuna obiezione circa l’effettiva esigibilità della nuova attività. Come detto, l’assicurato non può più svolgere la sua precedente attività, come confermato anche dal rapporto 1° luglio 2020 del dr. med. __________ alla __________, secondo cui l’assicurato “… è da ritenere inabile al lavoro nella misura del 100% senz’altro a lungo termine; una prima rivalutazione neurochirurgica non è prevista prima inizio di settembre 2020, dopo sarà molto probabilmente operato con prognosi post-operatoria di circa 3 mesi. Successivamente sarà probabilmente rivalutata anche la situazione alla spalla “(doc. 106); suddetto intervento operatorio non è tuttavia avvenuto. Il dr. med. __________ non si è comunque espresso sull’esigibilità in attività adeguate. L’assicurato sostiene come l’aspetto ansioso non sia stato indagato dall’amministrazione. Ora, a parte il suevocato riferimento fatto dal dr. med. __________ in merito all’energia psicofisica, dagli atti non risulta che l’assicurato soffra di una patologia extrasomatica, tantomeno di natura invalidante da indagare. Non risulta infatti che l’assicurato sia in cura psichiatrica, né che benefici di un accompagnamento psicologico, motivo per cui non è necessario procedere ad approfondimenti.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Altre patologie invalidanti rispetto a quelle elencate dal SMR, come detto, non sono state riscontrate. In particolare va segnalato che con rapporto 16 aprile 2021 il dr. med. __________, cardiologo, ha concluso che “al bilancio cardiologico con ecocardiografia e cicloergometria non documento particolarità, il cuore risulta strutturalmente normale e non vi sono indizi di ischemia cardiaca. Il soffio è di natura funzionale ” (doc. 109), escludendo quindi una patologia cardiaca. Con il ricorso l’assicurato ha prodotto il referto radiologo 14 ottobre 2021 della RM al plesso brachiale bilaterale (doc. A2) e quello del 21 febbraio 2022 relativo alla TAC della colonna cervicale (doc. A3). Al riguardo con annotazioni 16 maggio 2022, alle quali va data adesione, il medico SMR ha valutato che la nuova documentazione “non modifica le limitazioni già note in stato cronicizzato e stabile rispetto all’anno antecedente”. In particolare per quel che concerne la TAC della colonna vertebrale, il referto radiologico conclude (sottolineatura del redattore): “modificazioni degenerative nel tratto C4-C7 sostanzialmente invariate rispetto al precedente controllo TC di riferimento ”. In merito alla data di fissazione della capacità lavorativa al 50%, nelle citate annotazioni 16 maggio 2022 allegate alla risposta di causa, il dr. med. __________ ha spiegato ” che la data del 14.6.2021 non rispecchia una data di miglioramento valetudinario ma si basa sulla data della certificazione del medico curante endocrinologo dr. __________ con sua valutazione di esigibilità residuali” . Per questo motivo correttamente il medico SMR ha ritenuto la data del rapporto, che coincide con la visita effettuata, quale miglioramento oggettivamente costatato. Infine, sempre nelle medesime annotazioni 16 maggio 2022, il medico SMR rileva che “… ovviamente qualora ci si deciderà per procedere decompressivo chirurgico [nuovamente proposto dal dr. med. __________; cfr. rapporto 6 dicembre 2021 in doc. 121, cfr. anche rapporto 10 maggio 2022 dello stesso sanitario che certifica che il prospettato intervento di discectomia è stato rimandato causa iperglicemia in doc. B; n.d.r.] o vi sarà ulteriore deterioramento funzionale obbiettivato si procederà a rivalutazione in fase di revisione”. Infatti, secondo giurisprudenza, la decisione contestata, in casu 15 marzo 2022, delimita dal punto di vista temporale il potere cognitivo del giudice delle assicurazioni sociali (DTF 136 V 24 consid. 4.3; 130 V 445 consid. 1.2 con rinvii), motivo per cui i successivi rilevanti cambiamenti, debitamente documentati, potranno essere fatti valere, se del caso, nell’ambito di una revisione ai sensi dell’art. 17 LPGA. Di conseguenza, tenuto conto delle affidabili e convincenti conclusioni del SMR, alle quali va conferito valore probatorio pieno (cfr. consid. 2.6), è da ritenere dimostrato, con il grado della verosimiglianza preponderante valido nell'ambito delle assicurazioni sociali (DTF 139 V 218 consid. 5.3), che l’assicurato è totalmente inabile nell’abituale attività dal 26 febbraio 2020, ma abile al 50% dal 14 giugno 2021 in attività adeguate. Infine, questo Tribunale ritiene che la documentazione medica agli atti contiene elementi chiari e sufficienti per valutare l'incapacità al lavoro dell'assicurata sino all'emanazione del querelato provvedimento, senza che si renda quindi necessario l'esperimento una perizia pluridisciplinare richiesta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Occorre ora esaminare la graduazione dell’invalidità eseguita dall’Ufficio AI. 2.8.1.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9C_151/2020 del 5 maggio 2020 consid. 6.1; 9C_416/2010 del 26 gennaio 2011 consid. 3.2). Nella decisione contestata riguardo al reddito da valido, l’Ufficio AI ha rilevato che “… negli anni precedenti l’insorgenza del danno alla salute lei ha sempre lavorato nel campo della ristorazione quale cuoco – aiuto cuoco, ed in altri periodi è stato iscritto in disoccupazione. Per definire il reddito da valido faremo capo ai valori statistici ufficiali di riferimento per il suo abituale campo professionale (ristorazione) ”. L’assicurato ritiene invece che debbano essere presi in considerazione i dati statistici relativi al mercato generale del lavoro, valori maggiori di quelli utilizzati dall’amministrazione. Dagli atti risulta che, antecedentemente alla prima domanda di rendita del 2007, l’assicurato aveva lavorato presso il ristorante “__________” di __________ quale aiuto-cuoco (dal 2003 al 2008 secondo il curriculum vitae in doc. 71; dal 2002 al 2008 secondo il collocatore dell’AI nel rapporto 22 dicembre 2008 in doc. 26; dal 2006 al 2008, con disdetta per motivi di malattia con effetto dal 1° marzo 2008 come da questionario del datore di lavoro del 6 maggio 2008 in doc. 8). Risulta inoltre che sin dal 2000 il ricorrente era attivo nel settore della ristorazione, continuando successivamente a svolgere un’attività nello stesso settore economico (eccezion fatta per i 4 anni di custode), seppur in forma ridotta, sino alla seconda domanda di prestazione dell’agosto 2020 (cfr. curriculum vitae in doc. 71). Per questi motivi è molto verosimile che il ricorrente, senza il danno alla salute, avrebbe continuato a tempo pieno un’attività nel settore della ristorazione. Siccome successivamente alla prima domanda di prestazioni l’assicurato è stato diverse volte in disoccupazione, rettamente l’Ufficio AI ha utilizzato i dati salariali statistici relativi al ramo gastronomico, quantificando il reddito da valido, per il 2019, in fr. 52'772. Questa soluzione va del resto a favore dell’assicurato. Infatti, il suddetto importo è superiore a quello che risulterebbe se l’Ufficio AI avesse aggiornato al 2022 (momento della decisione contestata) il salario senza il danno alla salute di fr. 45'500 percepito dal ricorrente presso il Ristorante “__________” nel 2008, utilizzato nella decisione di diniego di prestazioni del 22 giugno 2009 (doc. 47). 2.8.2.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concreto, sempre dalla decisione impugnata si rileva che l’Ufficio AI ha correttamente utilizzato la citata tabella TA dell’inchiesta sulla struttura dei salari elaborata dall’Ufficio federale di statistica. L’amministrazione ha riconosciuto una riduzione sociale complessiva del 10% per attività leggere (cfr. rapporto 9 agosto 2021 del Consulente IP, pag. 372), giungendo ad un importo di fr. 30'762,60. L’assicurato contesta l’ammontare della riduzione riconosciuta, sostenendo che: " (…) 11. Un ulteriore aspetto che dev'essere valutata è la riduzione di natura sociale. L'UAI l'ha ritenuta del 10%. Si ravvisi al riguardo che l'UAI ha ammesso tale riduzione partendo dall'assunto che il leso sarebbe abile al lavoro in misura del 50%. Ma non ha in alcun modo valutato che quella residua è un'attività lavorativa in misura del 50% (e non con una riduzione della resa del 50% da svolgere sull'arco dell'intera giornata lavorativa), in un'attività oltremodo leggera (inferiore ai 5 kg) con una serie di limitazioni aggiuntive oltremodo importanti. Ma soprattutto con uno spettro del mercato del lavoro molto limitato, come abbiamo avuto modo di accertare nello studio delle limitazioni valetudinarie Vi sono pertanto almeno 4 fattori distinti che motivano una riduzione di natura sociale, che riteniamo in tutti i casi debba essere pertanto rivalutata e non possa situarsi al di sotto del 15% - 20%. (…)” (doc. I, pagg. 6-7) Chiamato ora a pronunciarsi in proposito, il TCA ritiene che la chiesta decurtazione – “ che non possa situarsi al di sotto del 15 – 20%” – non può essere avvallata, ritenuto che già la riduzione decisa dall’amministrazione (10%) appare generosa. In primo luogo va ricordato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Premesso quanto sopra, nel caso in esame, come visto l’assicurato può svolgere attività leggere, senza sollevamento di pesi oltre i 5 kg oltre l’orizzontale, senza dover restar con il capo rivolto verso l’alto, con possibilità di alternare la posizione evitando di effettuare turni lavorativi di notte con possibilità di mangiare al bisogno e senza dover guidare veicoli professionali per trasporto persone. Ora, tenuto conto dell’esigibilità appena descritta, occorre rilevare che il ricorrente beneficia di un ventaglio di attività sostitutive esigibili ancora sufficientemente ampio (cfr. in tal senso il rapporto del 9 agosto 2021 Servizio IP pagg. 372/3) e d’altronde egli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invalido, basato esclusivamente sulle limitazioni derivanti dal danno alla salute, come nel caso in esame, non può essere in concreto concesso (cfr. citate STF 8C_730/2019, 8C_765/2019 e 8C_9/2000, consid. 4). L’assicurato sostiene poi che sono dati almeno 4 fattori distinti per riconoscere una riduzione sociale, senza tuttavia elencarli e tantomeno motivarli. Sicuramente non lo è il fattore età, visto che al momento della decisione contestata l’assicurato (nato il __________ 1978) aveva compiuto 43 anni, quindi non prossimo all’età pensionabile. Va inoltre rilevato che il fatto di avere una limitata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ciò che corrisponde al caso in esame. Né del resto la circostanza che l’assicurato, entrato in Svizzera nel 2000, sia titolare di un permesso B permette di riconoscere un motivo di riduzione. Infine, a ragione l’assicurato rileva che in occasione della decisione di rifiuto 22 giugno 2009 l’amministrazione aveva riconosciuto una deduzione sociale del 15% (10% per attività leggere e del 5% relative all’età e alle difficoltà di tipo manuale). Tuttavia, questo generalmente non preclude che, trattandosi in casu di una revisione, gli aspetti dell’invalidità possano essere rivalutati (cfr. consid. 2.4). Inoltre, vista la recente giurisprudenza menzionata, la riduzione del 10% non poteva essere confermata. 2.8.3.  Dal raffronto dei redditi esposto nella decisione contestata risulta, nel 2019, un grado d’invalidità del 42% che conferisce il diritto ad un quarto di rendita. Ciò giustifica la riduzione della rendita intera ad un quarto con effetto dal 1° ottobre 2021, tre mesi dopo la valutazione di una capacità lavorativa parziale in attività adeguate (cfr. il già citato rapporto dr. med. __________ del 14 giugno 2021). Va infine detto che, visto l’importante scarto per raggiungere un grado d’invalidità del 50% con conseguente diritto alla mezza rendita, il fatto che i redditi non sono stati valutati al 2021 (anno della modifica della capacità lavorativa) rispettivamente al 2022 (anno dell’emissione della decisione contesta) non modifica l’esito della vertenza. Visto quanto sopra, la decisione contestata merita conferma, mentre il ricorso è da respingere.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