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32.2022.22 vom 7. März 2022</w:t>
      </w:r>
    </w:p>
    <w:p>
      <w:r>
        <w:t>TI Tribunale d'appello, 2022-03-07, IT</w:t>
      </w:r>
    </w:p>
    <w:p>
      <w:r>
        <w:rPr>
          <w:b/>
        </w:rPr>
        <w:t xml:space="preserve">Quelle: </w:t>
      </w:r>
      <w:r>
        <w:t>https://mcp.opencaselaw.ch/entscheid/ti_gerichte_32.2022.22</w:t>
      </w:r>
    </w:p>
    <w:p>
      <w:r>
        <w:t>FR: TI_GERICHTE 32.2022.22 du 7 mars 2022</w:t>
      </w:r>
    </w:p>
    <w:p>
      <w:r>
        <w:t>IT: TI_GERICHTE 32.2022.22 del 7 marzo 2022</w:t>
      </w:r>
    </w:p>
    <w:p>
      <w:pPr>
        <w:pStyle w:val="Heading2"/>
      </w:pPr>
      <w:r>
        <w:t>Erwägungen</w:t>
      </w:r>
    </w:p>
    <w:p>
      <w:r>
        <w:rPr>
          <w:b/>
        </w:rPr>
        <w:t>E. 1</w:t>
      </w:r>
    </w:p>
    <w:p>
      <w:r>
        <w:t>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2.8.   In concreto, nella procedura di revisione d’ufficio (cfr. supra consid. 1.2.) l’Ufficio AI ha chiesto sia all’assicurato che al medico curante, dr.ssa __________, un aggiornamento circa lo stato valetudinario; mentre l’assicurato lamentava un “ peggioramento mobilità della gamba sinistra, perdita sensibilità alla vescica e all’ano ” a far tempo dal 2020 (doc. 101, pag. 716 incarto AI), la curante, non disponendo di alcun’informazione circa la sua situazione professionale, ha indicato che il quadro clinico dell’assicurato non si fosse modificato rispetto alla precedente valutazione, allegando una RM della colonna lombare del 22 febbraio 2021 che indicava come “ gli attuali rilievi sono immodificati rispetto al precedente controllo del 2015 ” (doc. 104, pag. 725 e 730 incarto AI). L’Ufficio AI ha dunque sottoposto la nuova documentazione medica al vaglio del medico AI, dr. __________, il quale ha accertato uno stato valetudinario invariato rispetto alla precedente valutazione (docc. 113 e 114 incarto AI). Come accennato, il ricorrente contesta sia la valutazione medica che quella economica (cfr. supra consid. 1.5.) con argomentazioni di cui si dirà, per quanto necessario, di seguito. 2.9.   Questo Tribunale, chiamato a verificare se lo stato di salute del ricorrente sia stato accuratamente vagliato dal medico AI prima dell’emanazione della decisione impugnata, dopo attenta analisi della documentazione medica agli atti, non ha motivo per metterne in dubbio le conclusioni. In effetti, quo alla valutazione operata dal medico AI, il ricorrente si è limitato ad asserire in sede ricorsuale che “ il mio stato di salute non è migliorato, anzi tutto il contrario, infatti mi è stato proposto un nuovo intervento che al momento assieme ai medici stiamo vagliando ” (doc. I). Non avendo presentato – né nella procedura amministrativa, né in sede di ricorso – refertazione medica atta a mettere in dubbio le conclusioni del medico AI, risultando l’asserzione del ricorrente manifestamente non sostanziata, la sua censura s’appalesa all’evidenza inconferente. Pertanto, le conclusioni del medico AI sono integralmente confermate in questa sede. 2.10.   Circa la valutazione economica, il ricorrente sostiene che l’assunzione quale elettricista dipendente presso la __________ (cfr. supra consid. 1.2.), di proprietà dei suoi figli (cfr. doc. 115 incarto AI) sia da inquadrare quale tentativo da parte di questi ultimi di aiutare finanziariamente il padre sommerso di debiti, concedendogli una retribuzione di molto superiore rispetto al valore della sua prestazione lavorativa, “ Tutto ciò solo ed esclusivamente per poter pagare gli scoperti […]” (doc. I; cfr. anche doc. X). Nelle more ricorsuali egli ha presentato della documentazione a supporto della sua allegazione (cfr. supra consid. 1.6.). In sostanza, dunque, l’insorgente censura la determinazione del reddito da invalido operata dall’Ufficio AI, ragione per cui questa Corte può limitarsi alla disamina di tale questione. A tal proposito, l’amministrazione ha evidenziato come la giurisprudenza pone dei requisiti severi circa l’ammissione di un salario sociale (valendo il principio secondo cui il salario percepito corrisponde alla prestazione lavorativa effettiva) e che, come da nota marginale 3201 della Circolare sull’invalidità e sulla rendita nell’assicurazione per l’invalidità (CIRAI) in vigore dal 1. gennaio 2022 “ Le componenti del salario per le quali la persona assicurata non fornisce nessuna controprestazione a causa della limitata capacità al lavoro (salario sociale) sono computate quale reddito nella misura in cui su di esse sono stati prelevati contributi AVS ” (doc. VIII, pag.</w:t>
      </w:r>
    </w:p>
    <w:p>
      <w:r>
        <w:rPr>
          <w:b/>
        </w:rPr>
        <w:t>E. 2</w:t>
      </w:r>
    </w:p>
    <w:p>
      <w:r>
        <w:t>e 3). Il reddito da invalido è da determinare in primo luogo sulla base della situazione professionale concreta dell’interessato, a condizione però che quest’ultimo sfrutti in maniera completa e ragionevole la capacità lavorativa residua e che il reddito derivante dall’attività effettivamente svolta sia adeguato e non costituisca un c.d. salario sociale (“ Soziallohn ”) (DTF 126 V 76 consid. 3b/aa e riferimenti; STCA 32.2021.67 del 7 marzo 2022 consid. 2.7.5.). Per salario sociale si intende una retribuzione superiore al valore della controprestazione lavorativa (cfr. Riemer-Kafka, Schweizerisches Sozialversicherungsrecht, 7a ed., 2019, pag. 264; Senti, Gratisarbeit und Soziallohn: Folgen eines «falschen» Lohnes, in: AJP/PJA 2016, pag. 59 e segg.). Con sentenza 9C_745/2012 del 30 aprile 2013 al consid. 5.2., citata al marginale 3059 CIGI, il TF ha precisato che: " (…) 5.2 Per determinare il reddito da invalido […]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 A quest'ultimo proposito va rilevato che per determinare il reddito da invalido decisivo è il valore in denaro della prestazione fornita . Se quindi l'assicurato riceve un salario più elevato (il cosiddetto salario sociale), è determinante solo la parte che rappresenta la retribuzione del suo effettivo rendimento . Non fanno dunque parte del reddito da lavoro determinante per la valutazione dell'invalidità le componenti salariali per le quali è dimostrato che il lavoratore a causa della limitata capacità lavorativa non è in grado di fornire (alcuna controprestazione (cfr. art. 25 cpv. 1 lett. b OAI [nel suo tenore vigente fino al 31 dicembre 2021, n.d.r.]). Secondo l'esperienza generale della vita è poco verosimile che un datore di lavoro paghi per anni a un lavoratore invalido uno stipendio senza che questi fornisca una (adeguata) controprestazione . La prova dell'esistenza di un salario sociale è pertanto sottoposta a requisiti severi, valendo il principio che i salari pagati equivalgono alla prestazione lavorativa ( DTF 117 V 8 consid. 2c/aa pag. 18; RCC 1980 pag. 321 consid. 2b; cfr. pure sentenza 2A.236/2006 del 28 settembre 2006 consid. 5.4). Nell'ambito dell'apprezzamento delle prove si deve pure considerare che i datori di lavoro potrebbero essere interessati a dichiarare il versamento di un salario sociale .” (sottolineature del redattore) Il grado probatorio necessario per ammettere un salario sociale è quello della verosimiglianza preponderante (STF non pubbl. 8C_779/2017 del 25 aprile 2018, consid. 5.2.). Inoltre, un rapporto di parentela tra il datore di lavoro e l’assicurato e/o un rapporto di lavoro di lungo corso possono costituire indizi a favore di una prestazione sociale su base volontaria ( freiwillige Sozialleistung ) (STFA I 106/05 del 2 agosto 2005 consid. 4.2.3. con riferimento). Nell’evenienza concreta, valutata attentamente la documentazione agli atti e ponderati gli elementi a favore e sfavore dell’ipotesi di un salario sociale, questo Giudice ritiene che il grado probatorio sancito dalla giurisprudenza per ammettere un salario sociale in concreto non sia stato raggiunto. Innanzitutto, né la __________ né il ricorrente hanno prodotto – e dagli atti neppure emerge – un contratto di lavoro dal quale si possa desumere una componente sociale della retribuzione. In effetti, è solo successivamente all’avvio della procedura di revisione, ad oltre due anni dall’inizio della (nuova) attività lucrativa, che l’assicurato, sollecitato in tal senso dall’amministrazione, ha comunicato di essere stato assunto dalla citata società (doc. 101, pag. 717 incarto AI). D’altronde, l’unico documento che fa riferimento ad una retribuzione con componente sociale è stato allestito dalla citata società, per mano dei figli del ricorrente, a tre anni dall’assunzione, (doc. 112, pag. 743 e segg. incarto AI), circostanza che ne relativizza il valore probatorio. Oltre a ciò, la congruità della retribuzione per rapporto alla prestazione lavorativa non appare neppure inconciliabile con le conclusioni tratte dai periti nell’ambito della perizia pluridisciplinare del 20 dicembre 2017 (doc. 80, pag. 595 incarto AI), conclusioni fatte proprie dal medico AI (doc. 79 incarto AI) e attestanti una capacità lavorativa dell’80% (intesa come rendimento ridotto nell’arco dell’intera giornata lavorativa) in attività rispettosa dei limiti funzionali accertati (cfr. anche docc. 91, 92 e 94 incarto AI). A proposito di questi ultimi, si rileva che la datrice di lavoro stessa ha indicato come il mansionario e le attività affidate al ricorrente fossero il più possibile modulate in funzione delle sue limitazioni (doc. 112, pag. 742 incarto AI). Non può altresì non essere rilevato come è avvenuta la disdetta del rapporto di lavoro del 9 febbraio 2022, in un momento in cui, quindi, l’amministrazione aveva già accertato la violazione dell’obbligo di informare da parte dell’assicurato e gli aveva prospettato la decisione oggetto d’impugnativa (cfr. supra consid. 1.2. e segg.). Certo, questo Giudice non può completamente escludere che la retribuzione dell’insorgente includesse, per lo meno nelle intenzioni, una componente sociale liberamente versata dai figli, per il tramite della società, affinché egli potesse far fronte alla sua grave situazione debitoria (quest’ultima risultando pacifica; cfr. doc. VI, allegato A2); tuttavia in concreto la documentazione agli atti non risulta sufficiente per poter ammettere un salario sociale e tantomeno per determinarne l’ammontare. Stando così le cose, è a ragione che l’Ufficio AI ha ritenuto che i salari indicati dalla (ex) datrice di lavoro per gli anni 2019 e 2020 configurassero una retribuzione congrua per rapporto alla prestazione lavorativa. Operando il confronto dei redditi ex art. 16 LPGA, l’Ufficio AI ha (ri)calcolato un grado d’invalidità del 49% (49,18%) dal 1. maggio 2019 (cfr. supra consid. 1.2.), ciò che appare corretto. Per contro, il (ri)calcolo del grado d’invalidità per l’anno 2020 è viziato da un refuso, giacché in luogo del salario di fr. 60'000.-- (doc. 112, pag. 744 incarto AI) l’amministrazione ha indicato un salario di fr. 65'000.-- (doc. 126, pag. 784 incarto AI). L’errore di calcolo risulta in ogni caso ininfluente ai fini del presente giudizio, poiché anche ricalcolandolo, si otterrebbe un grado AI non pensionabile del 22,03% in luogo del 15.53%, sempre dal 1. gennaio 2020 (cfr. supra consid. 1.3.). Per quanto attiene il 2021, il ricorrente ha presentato una tabella stilata di proprio pugno e che indica un salario lordo di fr. 19'767.20 (doc. VI, allegato A6). La correttezza di tale documento appare perlomeno dubbia: infatti, stando alla tabella riassuntiva il ricorrente avrebbe percepito la maggioranza della sua retribuzione annuale nei mesi da settembre a dicembre 2021 (lordi fr. 18'000.-- su un salario annuale di complessivi fr. 19'767.20), ossia quando egli era in infortunio (cfr. supra consid. 1.3.). Dall’incarto __________ integrato all’incarto AI emerge inoltre come il salario annuo sulla cui base è stata calcolata l’indennità giornaliera ammontava a fr. 54'000.-- (doc. 159, pag. 863 incarto AI). Per quanto attiene alla disdetta del contratto di lavoro con effetto al 30 marzo 2022 (doc. VI, allegato A1), giova ricordare che il potere cognitivo del giudice delle assicurazioni sociali chiamato a valutare la legalità della decisione deferitagli è limitato temporalmente alla fattispecie rilevante al momento dell’emanazione di tale decisione (fra le tante cfr. DTF 136 V 24 consid. 4.3; 130 V 445 consid. 1.2 con rinvii; 129 V consid. 1.2), in concreto dunque il 7 marzo 2022 (cfr. supra consid. 1.4.). Fatti verificatisi ulteriormente possono essere presi in considerazione se permettono un accertamento retrospettivo della situazione anteriore alla decisione resa (SVR 2003 IV n. 25 consid. 1.2; DTF 130 V 140 e 129 V 4 consid. 1.2, 127 V 467 consid. 1, 121 V 366 consid. 1b; STCA 32.2019.63 del 27 aprile 2020, consid. 2.11). In concreto, essendo la cessazione del rapporto di lavoro successiva all’emanazione della decisione impugnata (cfr. supra consid. 1.4.) e non configurando la disdetta del 9 febbraio 2022 un fatto idoneo ad accertare retrospettivamente la situazione anteriore della decisione resa, essa risulta inconferente. La situazione è dunque così riassunta: Reddito da valido Reddito da invalido Grado d’invalidità Periodo fr. 76'309.93 fr. 38'783.-- 49.18% dal 1. maggio 2019 fr. 76'951.51 fr. 60'000.-- 22.03% dal 1. gennaio 2020 Visto quanto precede, l’amministrazione era legittimata a ridurre retroattivamente la rendita ad un quarto (grado AI del 49%) dal 1. maggio 2019 e a sopprimerla (grado AI del 22%) dal 1. gennaio 2020 (cfr. supra consid. 2.2.). 2.11.   Sulla scorta delle risultanze della procedura di revisione, che ha permesso di accertare un grado d’invalidità inferiore a quanto stabilito con decisione del 2018 (cfr. supra consid. 1.1. e 2.10. in fine), l’Ufficio AI ha prospettato la restituzione delle rendite indebitamente percepite dal 1. maggio 2019 (cfr. supra consid. 1.3. e seg.). Verrà dunque emessa una decisione impugnabile su tale punto. 2.12.   Visto tutto quanto precede, ne consegue che, confermata la decisione contestata, il ricorso è integralmente respinto. 2.13.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r>
        <w:rPr>
          <w:b/>
        </w:rPr>
        <w:t>E. 27</w:t>
      </w:r>
    </w:p>
    <w:p>
      <w:r>
        <w:t>aprile 2020, consid. 2.11).</w:t>
      </w:r>
    </w:p>
    <w:p>
      <w:r>
        <w:t>In concreto, essendo lacessazione del rapporto di lavoro successiva allemanazione della decisione impugnata (cfr. supra consid. 1.4.) e non configurando la disdetta del 9 febbraio 2022 un fatto idoneo ad accertare retrospettivamente la situazione anteriore della decisione resa, essa risulta inconferente.</w:t>
      </w:r>
    </w:p>
    <w:p>
      <w:r>
        <w:t>La situazione è dunque così riassunta:</w:t>
      </w:r>
    </w:p>
    <w:p>
      <w:r>
        <w:t>Reddito</w:t>
      </w:r>
    </w:p>
    <w:p>
      <w:r>
        <w:t>da valido</w:t>
      </w:r>
    </w:p>
    <w:p>
      <w:r>
        <w:t>Reddito</w:t>
      </w:r>
    </w:p>
    <w:p>
      <w:r>
        <w:t>da invalido</w:t>
      </w:r>
    </w:p>
    <w:p>
      <w:r>
        <w:t>Grado</w:t>
      </w:r>
    </w:p>
    <w:p>
      <w:r>
        <w:t>dinvalidità</w:t>
      </w:r>
    </w:p>
    <w:p>
      <w:r>
        <w:t>Periodo</w:t>
      </w:r>
    </w:p>
    <w:p>
      <w:r>
        <w:t>fr. 76'309.93</w:t>
      </w:r>
    </w:p>
    <w:p>
      <w:r>
        <w:t>fr. 38'783.--</w:t>
      </w:r>
    </w:p>
    <w:p>
      <w:r>
        <w:t>49.18%</w:t>
      </w:r>
    </w:p>
    <w:p>
      <w:r>
        <w:t>dal 1. maggio 2019</w:t>
      </w:r>
    </w:p>
    <w:p>
      <w:r>
        <w:t>fr. 76'951.51</w:t>
      </w:r>
    </w:p>
    <w:p>
      <w:r>
        <w:t>fr. 60'000.--</w:t>
      </w:r>
    </w:p>
    <w:p>
      <w:r>
        <w:t>22.03%</w:t>
      </w:r>
    </w:p>
    <w:p>
      <w:r>
        <w:t>dal 1. gennaio 2020</w:t>
      </w:r>
    </w:p>
    <w:p>
      <w:r>
        <w:t>Visto quanto precede, lamministrazione era legittimata a ridurre retroattivamente la rendita ad un quarto (grado AI del 49%) dal 1. maggio 2019 e a sopprimerla (grado AI del 22%) dal 1. gennaio 2020 (cfr. supra consid. 2.2.).</w:t>
      </w:r>
    </w:p>
    <w:p>
      <w:r>
        <w:t>Verrà dunque emessa una decisione impugnabile su tale punto.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