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32.2022.20 vom 28. Februar 2022</w:t>
      </w:r>
    </w:p>
    <w:p>
      <w:r>
        <w:t>TI Tribunale d'appello, 2022-02-28, IT</w:t>
      </w:r>
    </w:p>
    <w:p>
      <w:r>
        <w:rPr>
          <w:b/>
        </w:rPr>
        <w:t xml:space="preserve">Quelle: </w:t>
      </w:r>
      <w:r>
        <w:t>https://mcp.opencaselaw.ch/entscheid/ti_gerichte_32.2022.20</w:t>
      </w:r>
    </w:p>
    <w:p>
      <w:r>
        <w:t>FR: TI_GERICHTE 32.2022.20 du 28 février 2022</w:t>
      </w:r>
    </w:p>
    <w:p>
      <w:r>
        <w:t>IT: TI_GERICHTE 32.2022.20 del 28 febbraio 2022</w:t>
      </w:r>
    </w:p>
    <w:p>
      <w:pPr>
        <w:pStyle w:val="Heading2"/>
      </w:pPr>
      <w:r>
        <w:t>Erwägungen</w:t>
      </w:r>
    </w:p>
    <w:p>
      <w:r>
        <w:rPr>
          <w:b/>
        </w:rPr>
        <w:t>E. 30</w:t>
      </w:r>
    </w:p>
    <w:p>
      <w:r>
        <w:t>e i 54 anni che già percepiscono una rendita al momento dell’entrata in vigore della modifica di legge, il diritto alla rendita precedente perdura fintanto che il grado d’invalidità non subisce una modifica ai sensi dell’art. 17 cpv. 1 LPGA (modifica di almeno 5% o aumento al 100%). Il diritto alla rendita precedente perdura anche se quest’ultima diminuisce in seguito ad un aumento del grado d’invalidità o aumenta in seguito ad una diminuzione del grado d’invalidità. Inoltre, la rendita d’invalidità viene aumentata se risulta una rendita più alta a causa di un aumento del grado d’invalidità. Per gli assicurati che non hanno ancora compiuto i 30 anni ma che percepiscono già una rendita al momento dell’entrata in vigore della modifica di legge in parola, solo dopo 10 anni dall’entrata in vigore di detta modifica sarà applicata una scala delle rendite più dettagliata; se l’importo della rendita diminuisce dopo 10 anni a causa dell’applicazione della scala delle rendite più dettagliata, l’importo precedente continuerà ad essere pagato, configurando dunque un minimo. In caso di modificazione rilevante del grado d’invalidità (art. 17 cpv. 1 LPGA), sarà versata la rendita corrispondente ad esso. Sempre con riferimento al contesto intertemporale, si rileva che le indennità giornaliere che all’entrata in vigore della modifica legislativa sono versate in virtù dei previgenti artt. 22 cpv. 1bis e 23 cpv. 2 e 2bis continuano ad essere versate sino all’abbandono o alla conclusione del provvedimento che le ha giustificate.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In concreto, ricevuta la (nuova) domanda di prestazioni nell’agosto 2021 (cfr. supra consid. 1.4.), al fine di accertare lo stato valetudinario dell’assicurato l’UAI ha proceduto a richiamare tutta la documentazione medica dai curanti e a sottoporla al vaglio del medico AI. Avendo quest’ultimo accertato una capacità lavorativa completa in ogni attività, l’amministrazione ha proceduto ad emanare la decisione qui impugnata, debitamente preavvisata (cfr. supra consid. 1.1.). Il ricorrente contesta sia la valutazione medico-teoria operata dal medico AI, sia la valutazione economica calcolata dall’UAI con argomentazioni di cui si dirà, per quanto necessario, di seguito. 2.7.   Questo Tribunale, chiamato a verificare se lo stato di salute del ricorrente sia stato accuratamente vagliato dal medico AI pri-ma dell’emanazione della decisione impugnata, dopo attenta analisi della documentazione medica agli atti, non ha motivo per metterne in dubbio le conclusioni. 2.7.1.   Quo alla valutazione medica operata dal medico AI, il ricorrente formula una serie di censure basandosi in particolare sulle refertazioni dei curanti, ragione per cui occorre in prima battuta analizzare queste ultime. Il certificato del 20 maggio 2021 del dr. __________ ha il seguente tenore: " Con la presente certifico che il summenzionato paziente lamenta una dermatite atopica severa invalidante e per questo motivo è in terapia da diversi anni con creme emollienti e cortisoniche nonché attualmente con farmaci biologici di ultima generazione. Tali trattamenti hanno portato ad un miglioramento della sua problematica di base, che però non è mai guarita completamente. A causa della dermatite associata anche a numerose allergie inalatorie, non tutti i lavori sono adatti al paziente; in particolar modo sono da evitare le attività in zone particolarmente polverose o con presenza di muffe o all’aperto con contatto ripetuto ai pollini. Un’eventuale attività lavorativa va quindi valutata in base alle sue allergie. (…)” (doc. 39, pag. 122 incarto AI) In sintesi, il curante ha diagnosticato una dermatite atopica, rilevandone il miglioramento tramite trattamento in corso e precisando come l’affezione dermatologica unita alle allergie inalatorie esclude la possibilità di eseguire attività che esporrebbero l’assicurato al contatto con diversi agenti. Lo specialista non ha tuttavia mai accertato un’inabilità lavorativa, né si è espresso circa le ripercussioni della stessa sull’attività di impiegato d’ufficio. Ne consegue che tale certificato è da interpretare quale lista di attività che l’assicurato non dovrebbe svolgere a causa dell’affezione all’epidermide e può tuttalpiù assumere i contorni di limiti funzionali. Tale disamina trova conferma anche nel formulario Rapporto medico: integrazione professionale/Rendita inviato al menzionato curante, compilato dalla dr.ssa __________ (anch’essa specialista in dermatologia) in sua vece e datato 14 settembre 2021. La specialista ha indicato come fino a tale data non sia mai stata attestata un’incapacità lavorativa, accertando altresì come la pregressa grave dermatite atopica fosse in regressione netta grazie alla terapia farmacologica, evidenziando inoltre un buon controllo della dermatite. Circa i limiti funzionali del signor RI 1, la dr.ssa __________ non ne ha rilevati, formulando una prognosi “ buona ” sull’integrazione del paziente e rispondendo alla domanda “Quali sono i fattori che impediscono l’integrazione?” con “ possibilità di esacerbazione della dermatite atopica ”, escludendo infine limitazioni afferenti alle mansioni domestiche quali la conduzione dell’economica domestica, l’alimentazione, la pulizia dell’abitazione, gli acquisti, il bucato e la cura dei bambini (doc. 50 incarto AI). Oltre a quanto precede, l’assicurato aveva presentato il certificato del dr. __________ (internista) del 9 giugno 2021 del seguente tenore: " Con la presente certifico che RI 1 è in cura specialistica da anni per una grave malattia dermatologica (Dr. __________, Caposervizio Ospedale __________). Per questo motivo, è attualmente inabile al lavoro al 100%.” (doc. 39, pag. 123 incarto AI) Il dr. __________ (internista) si è dunque limitato a far riferimento ad una “ grave malattia dermatologica ”, accertando un’incapacità lavorativa completa nonostante il collega (lui sì, specialista nella disciplina interessata) non avesse mai certificato nulla in tal senso, anzi (vedasi sopra). Visto quanto precede, è a ragione che il medico AI nel suo rapporto finale SMR del 22 novembre 2021, dopo aver preso atto delle refertazioni mediche citate e osservando come il dr. __________ avesse attestato genericamente un’incapacità lavorativa del 100%, ha così valutato la situazione valetudinaria dell’assicurato (sottolineature del redattore): " (…) sulla base della documentazione raccolta risulta presenza di dermatite atopica attualmente in remissione grazie al trattamento in atto. Attività rispettose dei limiti funzionali, tipo lavoro d’ufficio risultano esigibili al 100% . A causa della dermatite associata anche a numerose allergie inalatorie, non tutti i lavori sono adatti al paziente; in particolar modo sono da evitare le attività in zone particolarmente polverose o con presenza di muffe o all’aperto con contatto ripetuto ai pollini. Un’eventuale attività lavorativa va quindi valutata in base alle sue allergie.” (doc. 52, pag. 180 incarto AI) Il medico AI ha dunque inserito la dermatite atopica tra le diagnosi con ripercussione sulla capacità lavorativa, riprendendo i limiti funzionali indicati nel rapporto del dr. __________ del 20 maggio 2021 (doc. 52, pag. 177 e seg. incarto AI). Alla domanda “È prevedibile una variazione della capacità lavorativa/mansioni consuete con l’adozione di provvedimenti sanitari/terapie?”, il dr. __________ ha risposto negativamente (doc. 52, pag. 180 incarto AI). Contestualmente alle osservazioni al progetto di decisione, l’assicurato, oltre ad informare l’UAI circa il secondo intervento di cataratta avvenuto il 25 gennaio 2022 (doc. 61, pag. 193 incarto AI), ha presentato il certificato del dr. __________ del 3 febbraio 2022, il quale ha attestato: " Con la presente elenco una serie di lavori che il paziente non può eseguire a causa elle (sic!) sue numerose allergie e problemi cutanei. In generale vanno evitati mestieri con esposizione diretta ai pollini, polveri di tutti i tipi, peli di animali, muffe e alimenti. Lavori da evitare: · Parrucchiere · Panettiere/pasticcere · Cuoco/aiuto cuoco · Infermiere · Muratore · Metalmeccanico · Meccanico · Carrozziere · Falegname · Carpentiere · Laboratorista · Agricoltore · Orticoltore · Giardiniere La lista è indicativa (…)” (doc. 61, pag. 194 incarto AI) Al certificato il dr. __________ ha allegato anche un dépliant informativo che illustra – tra l’altro – casi in cui individui affetti da allergie hanno potuto svolgere alcuni dei mestieri indicati sopra tramite i dovuti accorgimenti (doc. 61, pag. 196 e segg. incarto AI). In sostanza, il dr. __________ si è limitato a ribadire quanto già asserito nel certificato del 20 maggio 2021, fornendo un elenco esemplificativo di mestieri che l’assicurato non può svolgere a causa dell’affezione dermatologica e allergologica. Ed è dunque a ragione che il medico AI, esprimendosi circa le osservazioni al progetto ivi incluso il certificato di cui sopra, ha ritenuto che l’intervento di cataratta non comportava un’incapacità lavorativa prolungata (dalle tavole processuali non emerge nulla di diverso) e che, essendo l’assicurato di formazione economista/impiegato, il ventaglio delle attività da evitare illustrato dal curante non gli impediva di svolgere attività compatibili con l’affezione allergologica (docc. 63 e 64 incarto AI). Questa Corte non può neppure ignorare il fatto che le stesse certificazioni dei curanti risultano, oltre che scarne, in contraddizione fra loro: da una parte il dr. __________ non ha rilevato alcuna incapacità lavorativa, descrivendo dei limiti funzionali, dall’altra il dr. Lepori ha, dal canto suo, indicato un’incapacità lavorativa in misura completa senza alcuna motivazione e senza indicare in quale attività essa sia da inquadrare, limitandosi ad un generico rinvio a quanto accertato dal collega, dr. __________. Da ultimo, si rileva che la documentazione presentata dal ricorrente nelle more del ricorso risulta irrilevante ai fini del giudizio, trattandosi di semplici rilievi fotografici effettuati dall’assicurato medesimo e dei risultati di un esame di laboratorio senza spiegazione alcuna (doc. X, allegato B2 e doc. XIII, allegati C1-C14). 2.7.2.   Il ricorrente asserisce che l’istruttoria dellUAI “ è carente ed insufficiente contravvenendo all’obbligo di accertamento previsto dall’art. 43 LPGA ” (doc. I, p.to 7), poiché l’amministrazione avrebbe dovuto, sulla base delle refertazioni mediche di cui l’insorgente si prevale e delle ulteriori censure ricorsuali di cui in appresso, “ attuare approfondimenti medico-specialistici e amministrativi, al fine di riconoscere un grado d’invalidità e (in via subordinata) attuare i provvedimenti di reinserimento e di reinserimento professionale che si impongono ” (doc. I, p.to 11). Il citato disposto di legge prevede, fra l’altro, che l’assicuratore intraprenda d’ufficio i necessari accertamenti, raccogliendo le informazioni di cui ha bisogno (cpv. 1). A tal proposito, giova rammentare che nell’ambito della procedura amministrativa l’assicuratore gode di un ampio margine d’apprezzamento circa la necessità, l’estensione e l’opportunità dell’accertamento medico da esperire e che il libero apprezzamento delle prove costituisce parimenti un principio valido nell’ambito delle assicurazioni sociali (Kieser, Kommentar zum Bundesgesetz über den Allgemeinen Teil des Sozialversicherungsrechts ATSG, 4a ed., 2020, n. 18 e segg. e 61 e segg. ad art. 43 LPGA). Inoltre, il principio inquisitorio non è incondizionato, ma trova il suo correlato nell’obbligo delle parti di collaborare, quest’obbligo non potendo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attuare un nuovo esame medico, quando alla base della lamentela vi sono (solo) affermazioni di carattere soggettivo riguardo ad un presunto peggioramento del suo stato di salute (cfr. pro multis STCA 32.2021.79 del 17 novembre 2021 consid. 2.8.). Come accertato al considerando precedente, in concreto la refertazione medica di cui il ricorrente si è prevalso sia in questa sede che nella procedura amministrativa è stata valutata dal medico AI, il quale non l’ha ritenuta sufficiente per accertare un’incapacità lavorativa, conclusioni che questa Corte può fare integralmente proprie. Il ricorrente asserisce che “[benché] di formazione impiegato di commercio, a causa dei suoi gravi problemi di salute non ha mai potuto esercitare la propria attività lavorativa quant’anche considerata idonea dai medici dell’UAI. La sua unica esperienza professionale si è limitata a uno stage in marketing durante a ( sic !) sua formazione terminata nel 2008 con un attestato di maturità federale ”, rinviando a molteplici affezioni (doc. I, p.to 8. e 9.). Che il ricorrente sia al beneficio di prestazioni assistenziali è un dato di fatto che trova riscontro nelle tavole processuali (cfr. tra gli altri doc. 51 incarto AI). Per contro, l’asserzione secondo cui le affezioni comportino un’incapacità lavorativa costituisce una mera allegazione di parte che trova riscontro solo nello scarno certificato del curante, dr. __________ di cui si è già detto sopra e che, peraltro è in contraddizione con quanto certificato dal collega dr. __________ (cfr. supra consid. 2.7.1.). Pertanto, l’osservazione del ricorrente sul punto risulta infondata. L’insorgente asserisce inoltre che “ la patologia in essere provochi periodicamente delle ulcere alle mani ciò che concretamente rende qualsivoglia attività lucrativa inesigibile. A ciò si aggiungano le problematiche legate alle allergie inalatorie, ai dolori, al forte prurito (con effetto negativo a livello di capacità di concentrazione e resa) e gli effetti collaterali dei medicamenti) ”, suffragando tale asserzione con un rinvio a pagine internet, accennando a “ sofferenze psicologiche, anch’esse potenzialmente invalidanti e completamente neglette ” e rimproverando all’amministrazione di non aver approfondito tali tematiche (doc. I, p.to 13. – 15.). Circa l’ulcera agli arti superiori e l’accenno ad imprecisate problematiche di natura psicologica, si rileva che tali doglianze non sono mai state sollevate durante la procedura amministrativa, ragione per cui il rimprovero all’amministrazione di aver proceduto ad un’istruttoria superficiale sul punto rasenta la malafede. Inoltre, come ammesso dallo stesso legale, agli atti non vi è alcuna refertazione medica in tal senso; neppure i curanti, che hanno in cura RI 1 da anni hanno mai accennato a tali affezioni e le fotografie presentate nelle more della presente procedura (cfr. supra consid. 1.9. e 1.11.) non colmano la carente sostanziazione sul punto. Quo al rinvio a pagine web che trattano della dermatite atopica e delle patologie psichiche ad essa potenzialmente riconducibili, esso risulta irrilevante non trattandosi di refertazioni mediche riferite al caso che ci occupa ma piuttosto di meri spunti dottrinali che, come tali, non si esprimono circa le ripercussioni sulla capacità lavorativa del ricorrente. A tal proposito giova ricordare che l’accertamento dell’incapacità lavorativa è una prerogativa medica, non giuridica. Pertanto, le doglianze del ricorrente risultano sul punto inconferenti. Infine, il ricorrente censura le conclusioni dell’amministrazione secondo cui egli sia abile al lavoro in misura completa in lavori afferenti al suo ambito di formazione, segnatamente impiegato d’ufficio a tempo pieno (doc. I, p.to 16.) Sul punto questa Corte può far propria la presa di posizione del medico AI del 6 settembre 2016, ribadita dall’UAI in questa sede e tutt’ora pertinente (doc. IV, pag. 2; doc. 34 incarto AI: “ Assolutamente non necessario un ambiente asettico ”), secondo cui agli atti non vi è alcun indizio circa la necessità di un ambiente totalmente asettico in cui svolgere l’attività d’impiegato. Il TCA non ravvisa alcun motivo per dubitare delle conclusioni del medico AI circa la capacità lavorativa dell’insorgente, rilevando che con i dovuti accorgimenti (come ad esempio la possibilità di usufruire del telelavoro, un ambiente di lavoro rispettoso dei limiti funzionali descritti dal curante dr. __________ e dal medico AI) RI 1 sarebbe in grado di sfruttare la sua capacità lavorativa sul mercato del lavoro equilibrato quale impiegato d’ufficio (come da sua formazione). In effetti, questo tipo di attività amministrativa è quella che meglio si presta ad un approccio flessibile anche per il datore di lavoro. Quanto precede trova conforto nella giurisprudenza della nostra Alta Corte (cfr. STF 9C_15/2020 del 10 dicembre 2020 consid. 6.1. e segg., 9C_277/2016 del 15 marzo 2017 consid. 4.1. con rinvii giurisprudenziali), fatta propria dal TCA (cfr. pro multis STCA 32.2021.89 del 7 marzo 2022 consid. 2.6. e 32.2016.127 del 13 luglio 2017 consid. 2.7.). Non essendo l’asserzione del ricorrente secondo cui egli è inabile al lavoro in misura completa e in ogni attività sufficientemente sostanziata, la censura dell’insorgente cade nel vuoto. 2.8.   Circa la valutazione economica, il ricorrente sostiene che “[…] date le limitazioni funzionali e ambientali di cui soffre il signor RI 1, in aggiunta a una riduzione per incapacità lavorativa s’impone nella definizione del reddito da invalido una riduzione sociale del 20% almeno ” (doc. I, p.to 17.). Il TCA può pertanto limitare il proprio esame a solo questo aspetto. Quo alla riduzione percentuale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(cfr. sentenza 8C_80/2013 del 17 gennaio 2014 consid. 4.2). Con sentenza 9C_179/2013 del 26 agosto 2013, la Corte federale ha infine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(consid. 5.4.). Questa giurisprudenza è stata confermata anche nella STF 9C_767/2015 del 19 aprile 2016 consid. 4.6. Giova altresì ricordare che non è sufficiente che con l’impugnativa il ricorrente si limiti ad elencare singoli aspetti che potenzialmente potrebbero giustificare una riduzione percentuale dal reddito da invalido, in particolare se è stata accertata una capacità lavorativa residua del 70% in attività adeguata che, così l’Alta Corte, permette comunque di gestire un carico di lavoro rispettabile (cfr. STF 8C_190/2019 del 12 febbraio 2020, consid. 4.1. e seg.). Nel caso di specie, risulta assodato che, nonostante l’affezione dermatologica e allergologica, l’assicurato sarebbe ancora in grado di svolgere, senza limiti di tempo o di rendimento, l’attività di impiegato d’ufficio con i debiti accorgimenti (cfr. supra consid. 2.7.2.). In simili attività, occorre ammettere che il ricorrente beneficia di un ventaglio di attività (anche) sostitutive esigibili ancora sufficientemente ampio, ragione per cui mal si comprende la richiesta di riduzione percentuale dal reddito da invalido. In effetti, secondo la più recente giurisprudenza federale (cfr., ad esempio, la STF 8C_9/2020 del 10 giugno 2020 commentata da A. Bernasconi in SZS/RSAS 2021 pag. 49), una riduzione dettata dagli impedimenti fisici si giustifica soltanto se, anche su un mercato del lavoro che si suppone equilibrato, considerati gli impedimenti legati alla persona o al posto di      lavoro, non esiste più un ventaglio sufficientemente ampio di attività accessibili alla persona assicurata (cfr. STF 8C_174/2019 del 9 luglio 2019 consid. 5.2.2. e i riferimenti ivi citati), circostanza che in casu non è data. Pertanto, anche questa doglianza del ricorrente risulta infondata. Visto tutto quanto precede, la decisione impugnata deve essere confermata ed il ricorso respinto. 2.9. Secondo l’art. 69 cpv. 1bis LAI in vigore dal 1° gennaio 2021 ed applicabile in concreto (cfr. la disposizione transitoria dell’art. 82a LPGA in combinazione con gli art. 61 lett. a e f bis LPGA nel tenore in vigore dal 1° gennaio 2021)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