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32.2022.2 vom 9. Dezember 2021</w:t>
      </w:r>
    </w:p>
    <w:p>
      <w:r>
        <w:t>TI Tribunale d'appello, 2021-12-09, IT</w:t>
      </w:r>
    </w:p>
    <w:p>
      <w:r>
        <w:rPr>
          <w:b/>
        </w:rPr>
        <w:t xml:space="preserve">Quelle: </w:t>
      </w:r>
      <w:r>
        <w:t>https://mcp.opencaselaw.ch/entscheid/ti_gerichte_32.2022.2</w:t>
      </w:r>
    </w:p>
    <w:p>
      <w:r>
        <w:t>FR: TI_GERICHTE 32.2022.2 du 9 décembre 2021</w:t>
      </w:r>
    </w:p>
    <w:p>
      <w:r>
        <w:t>IT: TI_GERICHTE 32.2022.2 del 9 dicembre 2021</w:t>
      </w:r>
    </w:p>
    <w:p>
      <w:pPr>
        <w:pStyle w:val="Heading2"/>
      </w:pPr>
      <w:r>
        <w:t>Regeste</w:t>
      </w:r>
    </w:p>
    <w:p>
      <w:r>
        <w:t>Negato diritto alla rendita in assenza di un grado d'invalidità sufficiente. Negati pure provvedimenti professionali. Decisione confermata</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DTF 130 V 352). 2.5  Questo Tribunale, chiamato a verificare se, nel caso di specie, lo stato di salute del ricorrente è stato accuratamente vagliato dall’amministrazione prima dell’emanazione della decisione impugnata, dopo attento esame della documentazione medica agli atti, non ha alcun motivo per scostarsi dalla perizia reumatologica del 2 agosto 2021 eseguita dal dr. __________, specialista FMH in reumatologia, che ha concluso per una capacità lavorativa nel suo ultimo impiego di piastrellista del 20%. In un’attività adatta rispettosa delle limitazioni funzionali elencate, l’assicurato era invece da considerare abile in misura piena a partire al più tardi dall’inizio di marzo 2021 e cioè a circa 3 settimane dall’infiltrazione dei rami mediali delle ultime radici spinali L3, L4, L5 eseguita il 4 febbraio 2021 dal dr. __________ dell’Ambulatorio terapia del dolore dell’Ospedale __________ di __________ (doc. AI pag. 73). Nel suo referto, il perito, dopo aver riassunto accuratamente la documentazione agli atti – in particolare un rapporto del neurochirurgo dr. __________ del 5 maggio 2020 che ha posto le diagnosi di cervicalgie e brachialgie bilaterali croniche, nonché lombalgie e cruralgie bilaterali croniche, che sconsigliavano “ attività con sollevamento di pesi ripetuti, movimenti ripetitivi di flessione ed estensione ed eventualmente in torsione” , e ha consigliato un chiaro calo ponderale e esercizio fisico; valutazioni del dr. __________ del 6 novembre 2020 e 5 febbraio 2021, che riassumono quanto già espresso dal dr. __________ circa le sintomatologie conosciute nell'ambito una sindrome cervico-lombare con sintomatologia attualmente piuttosto lombare e cronica e consigliano pure un calo ponderale e un impegno muscolare di tipo riabilitativo, per rinforzare i muscoli addominali e paravertebrali, oltre a sedute di mesoterapia antalgica e infiltrazioni dei rami mediali delle ultime radici spinali di L5, L4 e L3 a destra e a sinistra; doc. AI pag. 130) – e analizzato i vari referti radiologici all’inserto (RM colonna cervicale del 2 aprile 2014 e 22 gennaio 2020, RM della colonna lombare del 5 ottobre 2020 e 22 gennaio 2020; doc. AI pag. 135), ha riassunto l’anamnesi famigliare, personale, sociale, professionale e patologica, i disturbi soggettivi e le affezioni attuali e le constatazioni obiettive e ha quindi posto le diagnosi di: " (…) 6.1 con ripercussione sulla capacità lavorativa Sindrome lombo-vertebrale con componente spondilogena prevalentemente sul lato destro su alterazioni degenerative plurisegmentali soprattutto L4-L5 e L5-S1. 6.2 senza ripercussione sulla capacità lavorativa Cervicalgie su moderate alterazioni degenerative Epicondilopatia ulnare bilaterale Morbo di Dupuytren al IV raggio di destra e al V raggio di sinistra.” Lo specialista ha quindi illustrato che l’assicurato aveva interrotto l’attività professionale nella forma completa a partire dal gennaio 2020, a causa dei dolori nella zona lombare con dei bloccaggi recidivanti e dei disturbi alla colonna cervicale. Egli presentava attualmente “ una sindrome cervico-vertebrale su delle alterazioni degenerative plurisegmentali di moderata entità stabili ormai dal 2014 data della prima risonanza magnetica e non peggiorate a un controllo di RM del 2020. Non ha mai presentato a livello cervicale delle irradiazioni di tipo irritativo radicolare alle estremità superiori ”, e alla colonna lombare vi erano dei dolori presenti da anni con una risonanza magnetica del 2015 che mostrava già delle alterazioni degenerative iniziali che avevano mostrato un'evoluzione con alla RM del 2020 soprattutto interessamento dei segmenti L4-L5 e L5-S1 con osteocondrosi a tali livelli. Non vi erano tuttavia compressioni o irritazioni radicolari. L’assicurato aveva avuto dei blocchi lombari ripetuti a seguito dell'attività professionale piuttosto pesante da lui svolta. In merito alla capacità lavorativa il perito ha affermato: " (…) 8.1 Capacità lavorativa nell'attività svolta finora Ritengo rassicurato a partire dalla mia visita abile al lavoro nella forma del 80% per quanto riguarda l'ultima attività professionale svolta quale piastrellista posatore dì piastrelle. Ricordo a questo proposito che lavorava assieme al figlio in una ditta di due sole persone. Attualmente il figlio è da solo. Penso che in questa situazione vi possa essere una comprensione da parte del datore di lavoro permettendo all'assicurato di svolgere un'attività lavorativa adeguata alle sue condizioni di salute con una riduzione del rendimento del 20%. Il figlio può aiutare nei lavori più pesanti. Rispetto alla valutazione del Dr. med. __________ riscontro in effetti un miglioramento soggettivo dei disturbi. Per quanto riguarda l'attività di casalingo lo ritengo abile al lavoro nella forma completa da sempre. 8.2 Capacità lavorativa in un'attività adeguata Per un'attività lavorativa adeguata, che tenga in considerazione le limitazioni funzionali da me sopraelencate, ritengo l’assicurato abile al lavoro al più tardi a partire dall'inizio di marzo del 2021 e cioè a 3 settimane dall'infiltrazione dei rami mediali delle ultime radici spinali L3, L4 e L5 nella forma completa sull'arco di un'intera giornata con un rendimento del 100%. (…)” E circa le limitazioni da osservare ha affermato: " (…) L'assicurato è limitato in attività particolarmente pesanti in cui debba mantenere posizioni statiche prolungate soprattutto con la parte superiore del corpo leggermente flessa in avanti oppure lavorare, come il piastrellista di solito fa, inginocchiato con movimenti di rotazione della colonna vertebrate. Limitato nell'alzare dei pesi superiori ai 15-20 kg ripetutamente. Può mantenere la posizione seduta cambiando appoggio per almeno 2 ore, può camminare per 1 km su terreno piano. Può mantenere la posizione in piedi cambiando appoggio per più di 2 ore.” In merito ai provvedimenti sanitari e alle terapie con ripercussioni sulla capacità lavorativa ha affermato che “ L'assicurato può continuare con della fisioterapia. Importanti sono anche delle informazioni di tipo ergonomico. Attualmente non assume terapie medicamentose antidolorifiche se non del Celebrex 200 mg al bisogno. In caso di esacerbazione della sintomatologia dolorosa vi sono ancora ampie possibilità terapeutiche. Eventuali ulteriori blocchi lombari, non possono essere esclusi a priori .” (doc. AI pag. 139). Ora, tutto ben considerato, il referto del dr. __________, le cui conclusioni sono peraltro state condivise senza riserve anche dal SMR nel rapporto del 30 agosto 2021 ( nel quale la dr.ssa __________ ha concluso per un’inabilità lavorativa completa dal 14 gennaio 2020, con ripresa di un’abilità nell’attività abituale dell’80% dal 17 giugno 2021 (data del consulto del dr. __________) e in attività adeguate del 100% dal 1. marzo 2021, a 3 settimane dall'infiltrazione dei rami mediali delle ultime radici spinali L3, L4 e L5, come concluso dal perito; doc. AI pag. 140 ), è da considerare dettagliato, approfondito e quindi rispecchiante i parametri giurisprudenziali ricordati al considerando 2.4. Lo specialista si è in effetti espresso sulla globalità delle patologie lamentate dall’assicurato, ha esaminato accuratamente tutta la documentazione messagli a disposizione ed ha valutato la sua capacità lavorativa anche sulla base delle indicazioni risultanti dalla visita effettuata presso di lui. Contrariamente a quanto eccepito dal ricorrente (ricorso pag. 4, doc. I), il medico ha pure esaminato approfonditamente l’evolversi dello stato di salute del ricorrente, e in particolare delle affezioni alla schiena, prendendo in considerazione tutta la documentazione medica prodotta ed acquisita nel corso della procedura amministrativa. Il referto peritale non ha tralasciato alcun elemento di rilievo, ha eseguito gli esami più appropriati e studiato la documentazione agli atti, ha descritto nei particolari l’anamnesi e l’esame clinico ed ha risposto alle questioni poste dall’AI. Secondo questo Tribunale alla perizia del dr. __________ va quindi attribuita piena forza probante. 2.6  Alle conclusioni tratte dall’amministrazione sulla base della perizia reumatologica si deve aderire, ritenuto che, come verrà illustrato nel prosieguo, le stesse non sono state smentite da altra documentazione medico-specialistica attestante nuove affezioni o una diversa valenza delle patologie diagnosticate o, ancora, un peggioramento successivo alla perizia e entro la data della decisione contestata, ritenuto che per la giurisprudenza il giudice delle assicurazioni sociali si basa di regola sui fatti che si sono realizzati fino alla resa del provvedimento contestato (cfr. DTF 132 V 220 consid. 3.1.1). Dalle ben motivate conclusioni della perizia del dr. __________ e del SMR non è in effetti possibile scostarsi sulla base delle certificazioni prodotte dall’assicurato nel corso della procedura amministrativa e contestualmente alle osservazioni al progetto di decisione del 26 ottobre 2021. Innanzitutto, la documentazione prodotta dall’assicurato in corso di procedura prima della stesura della perizia reumatologica del 2 agosto 2021 – segnatamente i rapporti del dr. __________ del 6 novembre 2020 (per la diagnosi di sindrome cervicale cronica e dorsolombare cronica, doc. AI pag. 75), del 5 febbraio 2021 (attestante l’esecuzione di un’infiltrazione per la cura della sindrome cervico lombare, doc. AI pag. 73), del dr. __________ del 25 maggio 2020 (relativo alla notifica dell’infortunio del 20 settembre 2019 alla __________, doc. AI pag. 77), del dr. __________, neurochirurgo, del 5 maggio 2020 per le diagnosi di cervicalgie e brachialgie bilaterali croniche, lombalgie e cruralgie bilaterali croniche (doc. AI pag. 78), referti di esami radiologi di RM colonna lombare il 5 ottobre 2015, RM colonna cervicale il 22 gennaio 2020, RM cervicale il 2 aprile 2014, attestato del 20 marzo 2014 del dr. __________ del Pronto soccorso per cervicalgie, dorsalgie e lombalgie (doc. AI pag. 87), rapporto operatorio relativo all’intervento del 18 dicembre 2015 per emorroidi (doc. AI pag. 89), scritto della dr.ssa __________ del reparto di chirurgia dell’ospedale di __________ del 4 ottobre 2016 per flemmone arto inferiore destro (doc. AI pag. 93), rapporto 27 settembre 2017 del dr. __________, cardiologo (doc. AI pag. 95) e 19 settembre 2017 del dr. __________ relativo ad un esame di colonoscopia (doc. AI pag. 100) – sono stati, per quanto di rilievo circa la capacità lavorativa dell’assicurato,  approfonditamente ed adeguatamente esaminati non solo dal SMR (rapporto 6 maggio 2021, doc. AI pag. 106), ma anche e soprattutto dal dr. __________ nella perizia del 2 agosto 2021 alle cui conclusioni, ben motivate e complete, si può rinviare. D’altra parte, in fase di osservazioni al progetto di decisione del 26 ottobre 2021, con un certificato del 24 novembre 2021 il dr. __________, generalista curante, ha attestato in sostanza un’inabilità lavorativa del 100% e chiesto una rivalutazione del caso, affermando che “ il paziente che ha lavorato tutta una vita come piastrellista, un lavoro fisicamente e particolarmente pesante (alzare pesi, lavorare in ginocchio, lavorare in posizioni scomode per tante ore al giorno e spesso in ambienti freddi e umidi). Il suo corpo e in particolare la sua schiena, è "consumata" e degenerata. Il paziente ha dei dolori violenti recidivanti, spesso anche di notte. Prende regolarmente il Celebrex 200 mg. Le patologie della colonna vertebrale, in particolare delta cervicale e della lombare, tendono a peggiorare e vengono confermate dagli specialisti. Una ripresa del suo lavoro, anche solamente parziale, è assolutamente impensabile ” (doc. AI pag. 159). Detta certificazione è stata sottoposta alla dr.ssa __________ del SMR, la quale, con Annotazione del 30 novembre 2021, ha affermato che “ il medico curante non porta nuovi elementi clinici che non siano stati valutati da parte del perito reumatologo; pertanto non c'è la necessità di sottoporre la sua lettera al perito. Il RAF del 30.08.2021 rimane invariato ” (doc. AI pag. 162). Questa conclusione va condivisa, non emergendo dalle scarne certificazioni del curante alcun elemento nuovo o significativo che non sia stato approfonditamente valutato dal perito o dal SMR rispettivamente che sia idoneo a modificare le conclusioni peritali, limitandosi il medesimo in sostanza a riepilogare i trascorsi professionali e patologici relativi ai noti problemi alla schiena, menzionando i dolori sofferti dal paziente, ma non specificando su quali motivazioni egli fonderebbe la sua conclusione circa l’impossibilità di ritornare ad esercitare il suo lavoro e non pronunciandosi sulla capacità lavorativa in attività leggere ed adeguate alle limitazioni derivanti dalle affezioni alla schiena. Né del resto il ricorrente produce in questa sede nuova documentazione che attesti una sostanziale modifica dello stato di salute rispetto alla valutazione del perito reumatologo e del SMR, né ha fornito elementi che consentano in qualche modo di considerarne inattendibili le conclusioni. In questa sede egli si limita in effetti a ribadire la contestazione della valutazione medica, esprimendo tuttavia in sostanza un dissenso puramente soggettivo, sostenendo che gli dovrebbe essere riconosciuta un’inabilità lavorativa maggiore. Produce varie certificazioni già agli atti e già esaminate dal perito reumatologo (doc. A-E), oltre ad un nuovo certificato del 10 gennaio 2021 del curante del seguente tenore: " (…) Conosco il signor RI 1 dal 2004. E' sempre stato un grande lavoratore come piastrellista. Già nel 2014 sono stati fatti i primi accertamenti a causa di dolori e bloccaggi acuti recidivanti a livello cervicale e lombare. Fino all'inizio 2020 ha cercato di resistere e di andare avanti malgrado i dolori quotidiani, aiutato con analgesici, miorilassanti e fisioterapia. Il suo lavoro da piastrellista è particolarmente pesante, è quasi tutto il giorno in posizioni di lavoro contratte, in ginocchio, movimenti di rotazione, alzare pesi. In più è frequentemente esposto all'umidità e al freddo. Si è consumato e a partire dal gennaio 2020 non ha più potuto riprendere il suo lavoro. I dolori lombari e cervicali ('hanno condizionato in modo importante da non più poter continuare a lavorare. Oltre alla fisioterapia e a un consumo importante di analgesici sono state fatte delle infiltrazioni presso il centro del dolore all'__________. La gravita della problematica viene confermata dal dr. __________, neurochirurgo. La ripresa del lavoro, anche solo parzialmente, è assolutamente impensabile.” (doc. F) In merito a tale certificazione l’amministrazione, nella sua risposta di causa dell’8 febbraio 2021, ha affermato con pertinenza che la stessa ricalca nella sostanza il precedente certificato del 24 novembre 2021 prodotto in fase di osservazioni al progetto di decisione, il quale, come detto, è stato adeguatamente esaminato dal SMR (cfr. annotazione del SMR del 30 novembre 2021, doc. AI pag. 162). Ribadite le considerazioni generali che si impongono sul tema dell’attendibilità delle certificazioni dei medici di fiducia ( anche se specialisti; cfr. STF U 202/01 del 7 dicembre 2001; cfr. consid. 2.4; sia pure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l’unica certificazione prodotta dal ricorrente, segnatamente quella del dr. __________, non consente in alcun modo di dipartirsi dalle conclusioni del perito reumatologo e del SMR che si sono espressi in modo coerente e privo di contraddizioni. All’assicurato va del resto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Così stanti le cose, questo Tribunale ritiene che la refertazione medica agli atti contiene elementi chiari e sufficienti per valutare l'incapacità al guadagno dell'assicurato sino alla resa del querelato provvedimento, senza che si renda necessario l'esperimento di ulteriori accertamenti ( valutazione anticipata delle prove, fra le tante cf r. DTF 130 II 425 consid. 2.1 p. 429 e riferimenti; anche DTF 135 V 465 ). Pertanto, visto quanto sopra, il TCA ritiene dimostrato con il grado della verosimiglianza preponderante valido nell'ambito delle assicurazioni sociali (DTF 126 V 360; DTF 125 V 195 consid. 2 e i riferimenti ivi citati) che l’assicurato presenta nella sua attività lavorativa di piastrellista un’inabilità totale dal 14 gennaio 2020 al 16 giugno 2021 ed in seguito abile dell’80%, mentre che in attività leggere e adeguate egli è inabile completamente dal 14 gennaio 2020 sino alla fine di febbraio 2021 e in seguito nuovamente abile pienamente. Le con clusioni in merito alla capacità lavorativa della decisione contestata vanno quindi confermate. 2.7 Per quel che concerne l’aspetto economico, rimasto sostanzialmente incontestato, per determinare il grado di invalidità l’Ufficio AI ha proceduto al raffronto dei redditi, mediante il metodo ordinario (cfr. consid. 2.3), procedendo al relativo calcolo considerando come dal 1. marzo 2021 l’assicurato risultasse abile al lavoro nella misura del 100% in attività confacenti. Il calcolo è stato esposto nella decisione impugnata come segue: " (…) Tenuto conto dei limiti funzionali dovuti al danno alla salute e del suo iter socio-professionale, lei risulta tuttora reintegrabile sul mercato libero del lavoro in una vasta gamma di attività generiche e non qualificate, di tipo semplice e ripetitivo, che non necessitano di alcuna formazione e che sono reperibili sia nel settore Secondario sia nel Terziario. Dal profilo salariale, la giurisprudenza imposta dall'Alta Corte federale indica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D 75/03, e del 5 settembre 2006 nella causa P., l 222/04). Sempre in base alla giurisprudenza federale, tali redditi possono ancora essere diminuiti nella misura massima del 25%, e ciò al fine di considerare quei fattori che nel caso di specie sono suscettibili di influenzare il reddito che l’assicurato potrebbe percepire, quali ad esempio le limitazioni addebitabili al danno alla salute, l'età, la nazionalità, il grado di occupazione (cfr. DTF 126 V 75). Reddito da valido Considerato che il rapporto di lavoro con il precedente datore di lavoro è stato disdetto per motivi estranei al danno alla salute, per definire il reddito da valido facciamo capo ai valori statistici editi dall'Ufficio federale di statistica, riferiti all'abituale campo professionale (costruzioni). In base ai valori statistici federali, tabella RSS, TA1, categoria professionale 41-43 (costruzioni), attività semplici e ripetitive, settore maschile, anno 2018 aggiornato al 2020, otteniamo un reddito annuo lordo di Fr. 70’711.00. Reddito da invalido Facendo riferimento ai dati statistici forniti dalla sopraccitata tabella elaborata dall'Ufficio federate di statistica (RSS, TA1, media dei redditi di tutte le categorie professionali, attività semplici e ripetitive, settore maschile, anno 2018 aggiornato al 2020), considerando una capacità lavorativa del 100% ed applicando una riduzione salariale del 5% per attività leggera, si evince che lei potrebbe ancora realizzare un reddito annuo lordo di Fr. 65'505.45 svolgendo un'attività adeguata al suo stato di salute. Confronto dei redditi Reddito da valido                                                                      CHF 70’711.00 Reddito da invalido                                                                   CHF 65'505.45 Perdita di guadagno                                                                 CHF 5'205.55 Grado d'invalidità                                                                                       7% Essendo il grado d'invalidità inferiore al 40%, il diritto alla rendita non sussiste. Pur avendo lei presentato un'incapacità lavorativa di lunga durata, tenuto conto che la presentazione ufficiale della richiesta d'invalidità è avvenuta in data 07.10.2020 e che un diritto a rendita può nascere al più presto dopo sei mesi dalla data del deposito della domanda, nel suo caso specifico un diritto alla prestazione citata non può entrare in considerazione nemmeno per un periodo transitorio, a fronte del fatto che, alla scadenza dei sei mesi dalla ricezione della domanda (mese di aprile 2021) lei era già ritenuto totalmente abile al lavoro in attività adeguate ed il grado d'invalidità era inferiore al 40%.(…).” (doc. G) Tale calcolo, che applica la giurisprudenza del Tribunale federale in materia di confronto dei redditi (cfr. la giurisprudenza, riassunta nella STF 9C_501/2013 del 28 novembre 2013), e per quanto riguarda i salari applicati ha fatto correttamente capo ai dati salariali statistici ufficiali dichiarati applicabili dal Tribunale federale (riguardo all’applicabilità dei dati salariali nazionali risultanti dalla tabella di riferimento TA1 dell’inchiesta sulla struttura dei salari, e meglio i dati salariali forniti dalla la RSS TA1-tirage skill level Svizzera, emanata dall'Ufficio federale di statistica di Berna, cfr. DTF 142 V 178, in particolare consid. 2.5.7; DTF 128 V 174; a proposito della rilevanza delle condizioni salariali nel settore privato, cfr. RAMI 2001 U 439, pagg. 347ss. e SVR 2002 UV 15, pagg. 47ss.), procedendo pure correttamente (e incontestatamente) all’applicazione di una riduzione sul salario da invalido del 5% per “attività leggere ” (doc. AI pag. 149), così come il conseguente grado di invalidità determinato dall’amministrazione nel 7%, vanno pertanto confermati. 2.8  Considerati quindi gli accertati gradi di inabilità lavorativa, nell’attività abituale quale piastrellista del 100% dal 14 gennaio 2020 al 17 giugno 2021 e in seguito del 20%, e in attività adeguate del 100% dal 14 gennaio 2020 al 1. marzo 2021 e in seguito dello 0% con conseguente grado di invalidità del 7%, non è dato alcun diritto a una rendita di invalidità. In effetti l’assicurato, pur avendo presentato un'incapacità lavorativa di lunga durata (inabilità lavorativa completa dal 14 gennaio 2020 sino al 17 giugno 2021 per quanto riguarda l’attività di piastrellista e sino al 1. marzo 2021 per quanto riguarda attività leggere adeguate), ha presentato la sua richiesta di prestazioni il 7 ottobre 2020. Ora, ricordato che un diritto alla rendita può nascere al più presto dopo sei mesi dalla data del deposito della domanda, l’assicurato non ha diritto ad alcuna prestazione ritenuto che alla scadenza dei sei mesi dalla ricezione della domanda (mese di aprile 2021) egli era già da considerarsi totalmente abile al lavoro in attività adeguate, con un conseguente grado di invalidità del 7% e, quindi, inferiore al grado minimo pensionabile del 40%. Ricordato inoltre come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e come la soglia minima di diminuzione della capacità di guadagno conferente diritto a provvedimenti di riformazione professionale è del 20% (DTF 130 V 489 consid. 4.2; 124 V 110 consid. 2b), in concreto, essendo il grado di invalidità del ricorrente inferiore alla soglia del 20%, a ragione con la decisione censurata l'Ufficio AI ha pure rifiutato di concedere provvedimenti di integrazione professionale. Nella decisione l’amministrazione ha in merito con pertinenza osservato che “ La valutazione della pratica da parte del nostro consulente in integrazione professionale AI ha portato a concludere che non vi sono i presupposti per attuare provvedimenti professionali in quanta non permetterebbero di migliorare la sua attuale capacità di guadagno residua. Nella fattispecie, non appaiono inoltre limitazioni tali da rendere problematica la ricerca di un posto di lavoro adeguato nel mercato primario tramite i normali canali di collocamento” (doc. G). 2.9  Ne consegue che la decisione impugnata merita conferma, mentre il ricorso va respinto. All’assicurato va comunque fatto presente che in caso di peggioramento rilevante delle condizioni di salute, debitamente comprovato da pertinente documentazione medica, egli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2.10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