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32.2021.84 vom 18. Juni 2021</w:t>
      </w:r>
    </w:p>
    <w:p>
      <w:r>
        <w:t>TI Tribunale d'appello, 2021-06-18, IT</w:t>
      </w:r>
    </w:p>
    <w:p>
      <w:r>
        <w:rPr>
          <w:b/>
        </w:rPr>
        <w:t xml:space="preserve">Quelle: </w:t>
      </w:r>
      <w:r>
        <w:t>https://mcp.opencaselaw.ch/entscheid/ti_gerichte_32.2021.84</w:t>
      </w:r>
    </w:p>
    <w:p>
      <w:r>
        <w:t>FR: TI_GERICHTE 32.2021.84 du 18 juin 2021</w:t>
      </w:r>
    </w:p>
    <w:p>
      <w:r>
        <w:t>IT: TI_GERICHTE 32.2021.84 del 18 giugno 2021</w:t>
      </w:r>
    </w:p>
    <w:p>
      <w:pPr>
        <w:pStyle w:val="Heading2"/>
      </w:pPr>
      <w:r>
        <w:t>Volltext</w:t>
      </w:r>
    </w:p>
    <w:p>
      <w:r>
        <w:t>Incarto n.32.2021.84</w:t>
      </w:r>
    </w:p>
    <w:p>
      <w:r>
        <w:t>cr</w:t>
      </w:r>
    </w:p>
    <w:p>
      <w:r>
        <w:t>Lugano</w:t>
      </w:r>
    </w:p>
    <w:p>
      <w:r>
        <w:t>18 ottobre 2021</w:t>
      </w:r>
    </w:p>
    <w:p>
      <w:r>
        <w:t>In nomedella Repubblica e CantoneTicino</w:t>
      </w:r>
    </w:p>
    <w:p>
      <w:r>
        <w:t>Il vicepresidente</w:t>
      </w:r>
    </w:p>
    <w:p>
      <w:r>
        <w:t>del Tribunale cantonale delle assicurazioni</w:t>
      </w:r>
    </w:p>
    <w:p>
      <w:r>
        <w:t>Giudice Raffaele Guffi</w:t>
      </w:r>
    </w:p>
    <w:p>
      <w:r>
        <w:t>con redattrice:</w:t>
      </w:r>
    </w:p>
    <w:p>
      <w:r>
        <w:t>Cinzia Raffa Somaini, vicecancelliera</w:t>
      </w:r>
    </w:p>
    <w:p>
      <w:r>
        <w:t>segretario:</w:t>
      </w:r>
    </w:p>
    <w:p>
      <w:r>
        <w:t>Gianluca Menghetti</w:t>
      </w:r>
    </w:p>
    <w:p>
      <w:r>
        <w:t>statuendo sul ricorso del 9 luglio 2021 di</w:t>
      </w:r>
    </w:p>
    <w:p>
      <w:r>
        <w:t>RI 1</w:t>
      </w:r>
    </w:p>
    <w:p>
      <w:r>
        <w:t>contro</w:t>
      </w:r>
    </w:p>
    <w:p>
      <w:r>
        <w:t>la decisione del 18 giugno 2021 emanata da</w:t>
      </w:r>
    </w:p>
    <w:p>
      <w:r>
        <w:t>CO 1</w:t>
      </w:r>
    </w:p>
    <w:p>
      <w:r>
        <w:t>in materia di assicurazione federale per l'invalidità</w:t>
      </w:r>
    </w:p>
    <w:p>
      <w:r>
        <w:t>considerato,in fatto e in diritto</w:t>
      </w:r>
    </w:p>
    <w:p>
      <w:r>
        <w:t>che                     1.1.  Dal 1° aprile 2015 RI 1, nato nel 1975, beneficia di una mezza rendita per un grado dinvalidità del 52% (doc. AI 127).</w:t>
      </w:r>
    </w:p>
    <w:p>
      <w:r>
        <w:t>In esito agli accertamenti medici ed economici esperiti nellambito dellultima procedura di revisione iniziata nel dicembre 2020 (doc. AI 139), per decisione del 18 giugno 2021, preavvisata il 14 maggio 2021, lamministrazione ha confermato il diritto alla mezza rendita in corso, considerando non essere intervenuto alcun cambiamento in riferimento alla rendita erogata (doc. A).</w:t>
      </w:r>
    </w:p>
    <w:p>
      <w:r>
        <w:t>1.2  Contro la suddetta decisione lassicurato si è aggravato al TCA, postulando una rivalutazione della propria situazione, andata vieppiù peggiorando nel corso degli anni, sia dal profilo fisico, che da quello psicologico, richiedendo persino un ricovero presso la Clinica __________ di __________ (doc. I).</w:t>
      </w:r>
    </w:p>
    <w:p>
      <w:r>
        <w:t>1.3 Con la risposta di causa lUfficio AI ha postulato la retrocessione degli atti per ulteriori accertamenti medici e ciò sulla scorta della presa di posizione del medico SMR del 29 luglio 2021 avente il seguente tenore:</w:t>
      </w:r>
    </w:p>
    <w:p>
      <w:r>
        <w:t>1.4  Con scritto del 1° settembre 2021 linsorgente ha dichiarato di aderire alla proposta dellUfficio AI (doc. VIII).</w:t>
      </w:r>
    </w:p>
    <w:p>
      <w:r>
        <w:t>2.2  Giusta lart. 17 cpv. 1 LPGA, se il grado dinvalidità del beneficiario della rendita subisce una notevole modificazione, per il futuro la rendita è aumentata o ridotta proporzionalmente o soppressa, dufficio o su richiesta. Qualsiasi cambiamento importante delle circostanze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consid.2 con riferimenti, 109 V 262, 105 V 30; Meyer-Blaser, Bundesgesetz über die Invalidenversicherung, in: Rechtsprechung des Bundesgerichts zum Sozialversicherungsrecht, 2010, ad art. 30/31 (art. 17 LPGA), pp. 379-380).LAlta Corte ha precisato cheil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(DTF 133 V 108 e STF 9C_520/2009 del 24 novembre 2009, consid. 3.1).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29 maggio 1991 nella causa St.; RCC 1984 p. 137). Circa gli effetti della modifica del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w:t>
      </w:r>
    </w:p>
    <w:p>
      <w:r>
        <w:t>2.3  Nel caso in esame, contrariamente a quanto stabilito nel provvedimento impugnato, dagli atti allinserto (in specie dalle certificazioni della dr.ssa __________, doc. 141) emerge effettivamente la necessità  come richiesto con il ricorso e come ammesso dallautorità intimata nella risposta di causa sulla scorta della valutazione SMR sopra riportata (cfr. supra consid. 1.3)  di ulteriori accertamenti volti a maggiormente chiarire la fattispecie, segnatamente tramite lesperimento di una perizia pluridisciplinare. Ciò al fine di addivenire ad un chiaro ed affidabile giudizio circa leventuale modifica della situazione invalidante sino al momento dellemanazione del querelato provvedimento, che per giurisprudenza(DTF 132 V 215 consid. 3.1.1, 130 V 140 e 129 V 4)segnail limite tempo-rale del potere cognitivo del giudice.</w:t>
      </w:r>
    </w:p>
    <w:p>
      <w:r>
        <w:t>In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(Ergänzung von gutachtlichen Ausführungen;cfr. STCA 32.2011.107 del 27 ottobre 2011),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In concreto, considerato come gli accertamenti eseguiti dal-lamministrazione risultino incompleti, si giustifica, in accoglimento del gravame e dopo annullamento dellavversata decisione, il rinvio degli atti affinché lUfficio AI proceda nel senso sopra indicato, segnatamente istruendo la causa dal profilo medico ed eventualmente, se necessario, anche da quello economico. In esito allistruttoria dovrà essere emessa, nel rispetto dei dettami dellart. 57a LAI, una nuova decisione soggetta a ricorso ai sensi degli artt. 56ss LPGA nel cui am-bito lassicurato potrà far valere rispettivamente riproporre ogni (pertinente) censura di fatto e di diritto.</w:t>
      </w:r>
    </w:p>
    <w:p>
      <w:r>
        <w:t>2.4  Giusta l'art. 69 cpv. 1bisLAI in vigore dal 1° gennaio 2021 ed applicabile in concreto (cfr. la disposizione transitoria dellart. 82a LPGA in combinazione con gli art. 61 lett. a e fbisLPGA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w:t>
      </w:r>
    </w:p>
    <w:p>
      <w:r>
        <w:t>Vista la soccombenza dellUfficio AI, le spese di fr. 500 sono poste a suo carico.</w:t>
      </w:r>
    </w:p>
    <w:p>
      <w:r>
        <w:t>Per questi motivi</w:t>
      </w:r>
    </w:p>
    <w:p>
      <w:r>
        <w:t>dichiara e pronuncia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