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32.2021.72 vom 22. April 2021</w:t>
      </w:r>
    </w:p>
    <w:p>
      <w:r>
        <w:t>TI Tribunale d'appello, 2021-04-22, IT</w:t>
      </w:r>
    </w:p>
    <w:p>
      <w:r>
        <w:rPr>
          <w:b/>
        </w:rPr>
        <w:t xml:space="preserve">Quelle: </w:t>
      </w:r>
      <w:r>
        <w:t>https://mcp.opencaselaw.ch/entscheid/ti_gerichte_32.2021.72</w:t>
      </w:r>
    </w:p>
    <w:p>
      <w:r>
        <w:t>FR: TI_GERICHTE 32.2021.72 du 22 avril 2021</w:t>
      </w:r>
    </w:p>
    <w:p>
      <w:r>
        <w:t>IT: TI_GERICHTE 32.2021.72 del 22 aprile 2021</w:t>
      </w:r>
    </w:p>
    <w:p>
      <w:pPr>
        <w:pStyle w:val="Heading2"/>
      </w:pPr>
      <w:r>
        <w:t>Volltext</w:t>
      </w:r>
    </w:p>
    <w:p>
      <w:r>
        <w:t>Incarto n.32.2021.72</w:t>
      </w:r>
    </w:p>
    <w:p>
      <w:r>
        <w:t>cr</w:t>
      </w:r>
    </w:p>
    <w:p>
      <w:r>
        <w:t>Lugano</w:t>
      </w:r>
    </w:p>
    <w:p>
      <w:r>
        <w:t>25 novembre 2021</w:t>
      </w:r>
    </w:p>
    <w:p>
      <w:r>
        <w:t>In nomedella Repubblica e CantoneTicino</w:t>
      </w:r>
    </w:p>
    <w:p>
      <w:r>
        <w:t>Il vicepresidente</w:t>
      </w:r>
    </w:p>
    <w:p>
      <w:r>
        <w:t>del Tribunale cantonale delle assicurazioni</w:t>
      </w:r>
    </w:p>
    <w:p>
      <w:r>
        <w:t>Giudice Raffaele Guffi</w:t>
      </w:r>
    </w:p>
    <w:p>
      <w:r>
        <w:t>con redattrice:</w:t>
      </w:r>
    </w:p>
    <w:p>
      <w:r>
        <w:t>Cinzia Raffa Somaini, vicecancelliera</w:t>
      </w:r>
    </w:p>
    <w:p>
      <w:r>
        <w:t>segretario:</w:t>
      </w:r>
    </w:p>
    <w:p>
      <w:r>
        <w:t>Gianluca Menghetti</w:t>
      </w:r>
    </w:p>
    <w:p>
      <w:r>
        <w:t>statuendo sul ricorso del 25 maggio 2021 di</w:t>
      </w:r>
    </w:p>
    <w:p>
      <w:r>
        <w:t>RI 1</w:t>
      </w:r>
    </w:p>
    <w:p>
      <w:r>
        <w:t>contro</w:t>
      </w:r>
    </w:p>
    <w:p>
      <w:r>
        <w:t>la decisione del 22 aprile 2021 emanata da</w:t>
      </w:r>
    </w:p>
    <w:p>
      <w:r>
        <w:t>Ufficio assicurazione invalidità,6501 Bellinzona</w:t>
      </w:r>
    </w:p>
    <w:p>
      <w:r>
        <w:t>in materia di assicurazione federale per l'invalidità</w:t>
      </w:r>
    </w:p>
    <w:p>
      <w:r>
        <w:t>ritenutoin fatto</w:t>
      </w:r>
    </w:p>
    <w:p>
      <w:r>
        <w:t>consideratoin diritto</w:t>
      </w:r>
    </w:p>
    <w:p>
      <w:r>
        <w:t>in ordine</w:t>
      </w:r>
    </w:p>
    <w:p>
      <w:r>
        <w:t>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(cfr. pro multis STF 9C_699/2014 del 31 agosto 2015, in particolare consid. 5.2, 5.3 e 6.1; STF 8C_452/2011 del 12 marzo 2012; STF 9C_807/2014 del 9 settembre 2015; STF 9C_585/2014 dell8 settembre 2015).</w:t>
      </w:r>
    </w:p>
    <w:p>
      <w:r>
        <w:t>2.2.  A norma dell'art. 6 cpv. 1 Lptca l'autorità amministrativa può, fino all'invio della sua risposta, riesaminare la decisione impugnata. Essa notifica immediatamente una nuova decisione alle parti e la comunica al Tribunale (art. 6 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chelassicuratore può riconsiderare una decisione o una decisione su opposizione, contro le quali è stato inoltrato ricorso, fino allinvio del suo preavviso allautorità di ricorso.</w:t>
      </w:r>
    </w:p>
    <w:p>
      <w:r>
        <w:t>Secondo dottrina e giurisprudenza, una decisione pendente lite mette fine alla vertenza (e costituisce quindi la base per lo stralcio dai ruoli della procedura ricorsuale; sul punto cfr. Bosshardt/Kölz/Röhl, Kommentar zum Verwaltungsrechts-pflegegesetz des Kantons Zürich, 1999, pag. 737) solo nella misura in cui corrisponde alle richieste del ricorrente. Il litigio sussiste quindi nella misura in cui la nuova decisione non regola tutte le questioni nei sensi voluti dall'insorgente; in tal caso lautorità di ricorso deve entrare nel merito di quanto è rimasto indeciso, senza che l'insorgente debba impugnare il nuovo atto amministrativo (DTF 127 V 233 consid.2.b/bb/, 113 V 237; RCC 1992 pag. 123 consid. 5c; Kieser, ATSG Kommentar, 2010, ad.Art. 53 n. 47 pag. 682).Infatti la nuova decisione è considerata impugnata (mit angefochten) unitamente a quella contestata con il ricorso. Il giudice non può entrare nel merito di un ricorso nel frattempo inoltrato (a titolo cautelativo) contro la nuova decisione, ma deve considerarlo come proposta di giudizio (Pfleiderer in: Waldmann/Weissenberger (Hrsg.), VwVG Praxiskommentar zum Bundesgesetz über das Verwaltungsverfahren, 2009, ad art. 58 n. 46, pag. 1172 con riferimenti dottrinali e giurisprudenziali; Schlauri, Die Neuverfügung lite pendente in der Rechtsprechung des EVG, in: Schaffauser/Schlauri (Hrsg.), Aktuelle Rechtsfragen der Sozialversicherungspraxis, Schriftenreihe IRP-HSG, 2001, pagg. 193 e 210). Rimangono tuttavia riservate le situazioni soggette alla protezione della buona fede (in argomento: cfr. STF 9C_809/2013 del 31 gennaio 2013). Infine, nel caso di incertezze o insicurezze a sapere se le richieste ricorsuali corrispondano pienamente alla nuova decisione in modo tale da rendere priva di oggetto la procedura di ricorso, alle parti  ai fini del loro di diritto di essere sentito  va concesso uno scambio di allegati (Pfleiderer, op. cit., ad art. 58 n. 48, pag. 1172 con riferimenti).</w:t>
      </w:r>
    </w:p>
    <w:p>
      <w:r>
        <w:t>Nella fattispecie, la decisione resa pendente lite dallUfficio AI non mette fine alla vertenza in quanto non corrisponde pienamente alle richieste del ricorrente (cfr. supra consid. 1.3. e 1.4.), il quale chiede di potere continuare a beneficiare di una rendita intera anche dopo il 30 aprile 2021.</w:t>
      </w:r>
    </w:p>
    <w:p>
      <w:r>
        <w:t>Il Tribunale deve pertanto entrare nel merito della lite,ritenuto che oggetto del contendere è sapere se a ragione lUfficio AI ha riconosciuto allassicurato il dirittoa ¾ di rendita dal 1° dicembre 2019 al 31 ottobre 2020 e una rendita intera dal 1° novembre 2020 al 30 aprile 2021.</w:t>
      </w:r>
    </w:p>
    <w:p>
      <w:r>
        <w:t>nel merito</w:t>
      </w:r>
    </w:p>
    <w:p>
      <w:r>
        <w:t>2.3.  Giusta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2.4.  Per quanto riguarda in particolare l'invalidità cagionata da un danno alla salute psichica, il TF ha stabilito che esso può portare ad uninvalidità se è di gravità tale da non poter praticamente esigere dall'assicurato di valersi della sua capacità lavorativa sul mercato del lavoro (cfr. DTF 127 V 298 consid. 4c). Al riguardo l'Alta Corte ha sottolineato che:</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 (STF I 166/03 del 30 giugno 2004, consid. 3.2).</w:t>
      </w:r>
    </w:p>
    <w:p>
      <w:r>
        <w:t>Secondo la giurisprudenza del TF siffatti principi valgono fra l'altro per le psicopatie, le alterazioni dello sviluppo psichico (psychische Fehlentwicklungen), l'alcolismo, la farmacomania, la tossicomania e le nevrosi (STF I 441/99 del 18 ottobre 1999; STF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w:t>
      </w:r>
    </w:p>
    <w:p>
      <w:r>
        <w:t>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w:t>
      </w:r>
    </w:p>
    <w:p>
      <w:r>
        <w:t>Questa giurisprudenza è poi stata progressivamente estesa ad altre affezioni (cfr. la DTF 137 V 64 sullipersonnia, nella quale lAlta Corte si è così espressa:</w:t>
      </w:r>
    </w:p>
    <w:p>
      <w:r>
        <w:t>"()</w:t>
      </w:r>
    </w:p>
    <w:p>
      <w:r>
        <w:t>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w:t>
      </w:r>
    </w:p>
    <w:p>
      <w:r>
        <w:t>2.6.  Nel caso di specie, al fine di accertare quale fosse la capacità lavorativa dellassicurato, con rapporto intermedio del 28 giugno 2020 il dr. __________ del SMR ha ritenuto opportuno richiedere una valutazione EFL (cfr. doc. 34).</w:t>
      </w:r>
    </w:p>
    <w:p>
      <w:r>
        <w:t>Nel rapporto di valutazione del 24 agosto 2020, eseguito presso la __________, dopo avere indicato la diagnosi principale di cervicalgia cronica e esauribilità stenica a carico dellarto superiore sx di ACDF C5-C6 da sx (23.12.2018) per ernia discale deficitaria e, quali diagnosi secondarie, che per quanto riguarda il capitolo delle diagnosi secondarie rimandiamo agli atti AI ricevuti (cfr. doc. 41 pag. 2), il medico EFL dr. __________ e la terapista __________, hanno formulato le seguenti conclusioni e proposte:</w:t>
      </w:r>
    </w:p>
    <w:p>
      <w:r>
        <w:t>Nella valutazione medica allegata al rapporto di valutazione delle capacità funzionali, il medico EFL dr. __________, posta la diagnosi principale di cervicalgia cronica e esauribilità stenica a carico dellarto superiore sx di ACDF C5-C6 da sx (23.12.2018) per ernia discale deficitaria, ha rilevato che capisco e convengo che il paziente avrebbe incontrato difficoltà nel continuare lattività di pompiere macchinista, vuoi per la sua attuale forza e resistenza globale, sia per la limitata endurance e infine per la sicurezza nei momenti di intervento, concludendo che dopo avere discusso i risultati dei test EFL con la terapista ritengo che il paziente possa comunque aspirare ad un reinserimento professionale a tempo pieno, nel rispetto dei suoi limiti, come da nostre conclusioni e se possibile, considerando la sua esperienza lavorativa, rimanendo presso le __________. Egli ha aggiunto che pur lasciando al vostro servizio medico e al medico trattante del paziente le decisioni in merito, un programma fisioterapico di riallenamento e apprendimento di corretti skill ergonomici di lavoro potrebbe aiutare a meglio inserirsi in un lavoro futuro (cfr. 41 doc. pag. 6)</w:t>
      </w:r>
    </w:p>
    <w:p>
      <w:r>
        <w:t>Con rapporto finale del 10 settembre 2020 il dr. __________ del SMR, posta la diagnosi con ripercussioni sulla capacità lavorativa di cervicalgia cronica ed esauribilità stenica a carico dellarto superiore sx di SCDF C5-C6 da sx (23.12.2018) per ernia discale deficitaria e, quale diagnosi senza ripercussioni sulla capacità lavorativa, quella di stato dopo trauma lombare 2010 (__________), ha considerato lassicurato definitivamente inabile al lavoro al 100% a partire dal 12 dicembre 2018 nellattività abituale di __________.</w:t>
      </w:r>
    </w:p>
    <w:p>
      <w:r>
        <w:t>Quanto alla possibilità per linteressato di svolgere altre attività adeguate, rispettose delle sue limitazioni funzionali, il dr. __________ del SMR ha posto una piena abilità lavorativa dal 27 luglio 2020, momento della valutazione EFL (doc. 43).</w:t>
      </w:r>
    </w:p>
    <w:p>
      <w:r>
        <w:t>Ricevuta notizia dellinsorgenza di una problematica psichiatrica, lUfficio AI ha chiesto alla curante dellinteressato, dr.ssa __________, specialista in psichiatria e psicoterapia, di compilare lusuale formulario rapporto medico.</w:t>
      </w:r>
    </w:p>
    <w:p>
      <w:r>
        <w:t>Una volta in possesso di quanto richiesto (cfr. doc. 56), il dr. __________ del SMR ha interpellato la dr.ssa __________, chiedendole di fornire un breve aggiornamento nel caso del signor RI 1. In particolare le chiedo di indicarmi a partire da quando il signor RI 1 potrebbe iniziare un inserimento lavorativo in attività adatta dal punto di vista somatico e in quale misura (cfr. doc. 58).</w:t>
      </w:r>
    </w:p>
    <w:p>
      <w:r>
        <w:t>Con scritto del 21 dicembre 2020, la dr.ssa __________ ha risposto:</w:t>
      </w:r>
    </w:p>
    <w:p>
      <w:r>
        <w:t>LUfficio AI ha pure appreso che lassicurato è stato vittima in data 25 agosto 2020 di un nuovo infortunio, che ha comportato una totale incapacità lavorativa dal 26 agosto 2020 all11 ottobre 2020 (cfr. doc. 57).</w:t>
      </w:r>
    </w:p>
    <w:p>
      <w:r>
        <w:t>Con ulteriore rapporto finale dell11 gennaio 2021, il dr. __________ del SMR ha reputato linteressato totalmente inabile al lavoro dal 12 dicembre 2018 nellabituale attività di __________, ma pienamente abile al lavoro in attività adeguate rispettose delle sue limitazioni funzionali, a decorrere dal mese di gennaio 2021 (rapporto della dr.ssa __________) (cfr. doc. 60)</w:t>
      </w:r>
    </w:p>
    <w:p>
      <w:r>
        <w:t>2.8.  Chiamato a pronunciarsi, questo Tribunale ritiene che, senza che prima venga completata listruttoria dal profilo medico - chiarendo in particolare quali siano le patologie che affliggono lassicurato e che impatto abbiano le stesse sulla sua capacità lavorativa residua in attività adeguate - non sia possibile esprimersi, con sufficiente tranquillità, a proposito della correttezza della valutazione medica SMR posta a fondamento della decisione impugnata.</w:t>
      </w:r>
    </w:p>
    <w:p>
      <w:r>
        <w:t>Nel rapporto finale SMR dell11 gennaio 2021, il dr. __________ del SMR ha considerato lassicurato totalmente inabile al lavoro nellusuale professione di __________  circostanza questa incontestata tra le parti - ma ancora pienamente abile al lavoro nello svolgimento di attività adatte, rispettose delle limitazioni funzionali indicate nella valutazione EFL del 24 agosto 2020, tenendo essenzialmente conto, dal profilo somatico, unicamente delle ripercussioni derivanti dallintervento per ernia discale deficitaria a livello C5-C6 del 23 dicembre 2018.</w:t>
      </w:r>
    </w:p>
    <w:p>
      <w:r>
        <w:t>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 2.8., ci troviamo di fronte ad un accertamento dei fatti lacunoso, si giustifica il rinvio degli atti allamministrazione affinché metta in atto gli accertamenti medici necessari al fine di chiarire quale sia lo stato di salute dellinteressato e le ripercussioni dello stesso sulla sua capacità lavorativa residua.</w:t>
      </w:r>
    </w:p>
    <w:p>
      <w:r>
        <w:t>Per questi motivi</w:t>
      </w:r>
    </w:p>
    <w:p>
      <w:r>
        <w:t>dichiara e pronuncia</w:t>
      </w:r>
    </w:p>
    <w:p>
      <w:r>
        <w:t>§  La decisione impugnata è annullata.</w:t>
      </w:r>
    </w:p>
    <w:p>
      <w:r>
        <w:t>§§ Gli atti sono rinviati allamministrazione affinché proceda come indicato ai considerandi 2.8. e 2.9.e si pronunci nuovamente sul diritto alla rendita dellassicurato, fermo restando il diritto di questultimoa ¾ di rendita di invalidità dal 1° dicembre 2019 (con versamento effettivo solo dal 1° giugno 2020 a causa della tardività della presentazione della richiesta di prestazioni) al 31 ottobre 2020 e ad una rendita intera di invalidità dal 1° novembre 2020 al 30 aprile 2021.</w:t>
      </w:r>
    </w:p>
    <w:p>
      <w:r>
        <w:t>2.  Le spese di fr. 500.-- sono poste a carico dellUfficio AI, che rifonderà al ricorrente fr. 1800.-- a titolo di ripetibili (IVA inclusa).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