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32.2021.66 vom 19. November 2021</w:t>
      </w:r>
    </w:p>
    <w:p>
      <w:r>
        <w:t>TI Tribunale d'appello, 2021-11-19, IT</w:t>
      </w:r>
    </w:p>
    <w:p>
      <w:r>
        <w:rPr>
          <w:b/>
        </w:rPr>
        <w:t xml:space="preserve">Quelle: </w:t>
      </w:r>
      <w:r>
        <w:t>https://mcp.opencaselaw.ch/entscheid/ti_gerichte_32.2021.66</w:t>
      </w:r>
    </w:p>
    <w:p>
      <w:r>
        <w:t>FR: TI_GERICHTE 32.2021.66 du 19 novembre 2021</w:t>
      </w:r>
    </w:p>
    <w:p>
      <w:r>
        <w:t>IT: TI_GERICHTE 32.2021.66 del 19 novembre 2021</w:t>
      </w:r>
    </w:p>
    <w:p>
      <w:pPr>
        <w:pStyle w:val="Heading2"/>
      </w:pPr>
      <w:r>
        <w:t>Regeste</w:t>
      </w:r>
    </w:p>
    <w:p>
      <w:r>
        <w:t>Prima domanda di prestazioni respinta. Conferma della perizia reumatologica e conferma della determinazione dei redditi da porre in raffronto per determinare il grado d'invalidità. Conferma dell'esigibilità di attività adeguate</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2.5.   Nel caso concreto, dal punto di vista medico l’Ufficio AI ha incaricato il dr. med. __________ di eseguire una perizia ortopedica. Dopo aver proceduto al consueto esame degli atti, all’anamnesi, alle costatazioni oggettive, visti i reperti strumentali, lo specialista in chirurgia ortopedica e traumatologia dell’apparato locomotore ha posto le seguenti diagnosi: trauma contusivo – distorsivo ginocchia bilaterali del 20 aprile 2007 trattato conservativamente; condropatia rotulea attualmente di III grado, meniscosi mediale con alterazione grado II del corno posteriore, plico sinoviale medio-patellare ispessita non complicata ginocchio destro trattato conservativamente; condropatia rotulea al ginocchio sinistro in stato dopo contusione del 20 aprile 2007 con alterazioni di II grado menisco mediale posteriore, trattati conservativamente; lombalgia acuta aspecifica. Egli ha poi proceduto ad una dettagliata valutazione dei reperti, elencando fra l’altro le limitazioni funzionali e concludendo per una capacità lavorativa del 50% nell’abituale attività di selvicoltore. In attività rispettose dei limiti funzionali, il perito ha ritenuto l’assicurato abile al 100% dal 12 maggio 2007, data dell’infortunio. In un lavoro adeguato conformemente ai limiti funzionali indicati nell’apposito allegato (tra cui un carico massimo di 25 chili) egli ha valutato un’abilità di 8-9 ore sull’arco di una giornata lavorativa, ritenendo “auspicabile trovare un lavoro d’ufficio leggero, facendo attenzione a sollevare carichi limitati con dei cambi di postura frequenti e gestione del tempo del lavoro intervallato da piccole pause seduto, dove eviti di lavorare accovacciato frequentemente, eviti di salire e scendere le scale frequentemente; a questo potrebbe aggiungersi una posizione di lavoro comoda ed ergonomica che consenta pochi carichi assiali e rotazionali senza caricare pesi importanti frequentemente” (pagg. 17 e 19 della perizia). Il perito non ha ritenuto dati provvedimenti sanitari atti a migliorare in misura rilevante la capacità lavorativa nell’abituale professione, intravedendo tuttavia delle terapie per migliorare la sua qualità di vita e prevedendo un futuro trattamento chirurgico al ginocchio destro. Chiamato dal SMR a spiegare la contraddizione tra il limite di carico (25 chili) segnato nel relativo modulo e l’indicazione della ricerca di un lavoro d’ufficio leggero, con complemento del 9 giugno 2020 il perito ha fatto presente che si è trattato di un errore nella compilazione del separato modulo relativo all’esigibilità lavorativa, precisando un limite di carico di 10 chili in attività adeguate (doc. 125). L’assicurato contestata la succitata valutazione medico-teorica, ritenendola incompleta. Egli sostiene come la perizia del dr. med. __________ si limiti a valutare le conseguenze dell’infortunio militare alle ginocchia – la cui procedura da parte della __________ è stata sospesa sino all’evasione della vertenza AI (cfr. lettera 14 febbraio 2020 della __________ in doc. 604) – e che non contempla la problematica lombare sorta nel frattempo. A motivazione delle proprie tesi, l’assicurato fa riferimento ai rapporti 7 gennaio 2021 e 11 gennaio 2021 del neurochirurgo dr. med. __________.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Nel caso in esame, vagliata attentamente la documentazione agli atti, questo TCA non ha motivo di distanziarsi dalla perizia 26 novembre 2018 del dr. med. __________ e dal suo complemento del 9 giugno 2020, nonché dai rapporti 6 febbraio 2019, 30 giugno 2020 del SMR. In particolare, contrariamente a quanto asserito dall’insorgente, si evidenzia che il succitato specialista ha tenuto conto della problematica lombare, da lui diagnosticata, con ripercussione sulla capacità lavorativa, quale lombalgia acuta aspecifica. Egli ha difatti proceduto all’esame del rachide lombo-sacrale (sottolineature del redattore): " All’ispezione rachide in asse, con normale curva toracica e lombare, flesso-estensione a gradi normali (flessione 45°, estensione 30°, non riportata dolente), DDS 18 cm dal suolo. Inclinazione a destra e sinistra 0-40, rotazione assiale senza limiti apparenti . Nessuna spinalgia notata al tratto lombare a livello delle apofisi spinose anteriori e trasverse, nessuna dolenzia pressoria, neppure para-vertebrale, muscolatura paravertebrale non contratta , normotonica e normotrofica , muscolatura lombare normalmente rappresentata. Lasègue contro-Lasègue negativi , Wassermann contro-Wassermann negativi , riflessi osteotendinei arti inferiori normali vivaci e simmetrici, non deficit sensitivi, non deficit stenici agli arti inferiori. Tender-point negativi , estensore comune delle dita ed estensore proprio dell’alluce conservati bilateralmente, punti di Valleix negativi , Schober 10-14 cm. Accosciamento completo possibile senza limitazioni. (…)” (doc. 44 pagg. 13-14) Ha poi evidenziato: " (…) Sempre dal punto di vista ortopedico altro rilevante problema presentato dall’assicurato è il lieve sovrappeso che va sovraccaricare il tratto lombare e al contempo anche le estremità inferiori; di conseguenza è auspicabile rivalutare le opzioni di cura atte a ridurre l’eccesso ponderale e contemporaneamente bisognerà instaurare un piano riabilitativo vincente; non di meno è da menzionare che un potenziamento del trattamento farmacologico analgesico su base programmatica porterebbe ad un miglioramento della sintomatologia algica al ginocchio destro ed al rachide lombare e più globalmente un miglioramento degli outcomes in termine di compliance verso un’attività lavorativa leggera che renderebbe più agevole all’assicurato lavorare in una professione adeguata. (…)” (doc. 44 pag. 17) Il dr. med. __________ ha inoltre preso conoscenza del referto relativo alla RMN lombare eseguita il 3 luglio 2014 concludente: " Non è con certo, se l’attuale sintomatologia è attribuibile ad una vera problematica radicolare L5 bilaterale o S1 a sinistra, siccome una vera stenosi dei forami di coniugazione L5-S1 bilaterale o del recesso laterale di sinistra non è evidente. Potrebbe trattarsi anche di una sindrome lombo-spondilogena a partenza soprattutto delle faccette artrosiche L4_L5 bilateralmente e meno L5-S1. (…)” (cfr. elenco atti pag. 6 della perizia; prodotta dall’assicurato con le osservazioni 2 dicembre 2020; cfr. anche pagg. 533/4) Il 23 ottobre 2020 l’assicurato è stato sottoposto ad un’altra a RMN alla colonna lombare che è stata valutata dal SMR nelle sue annotazioni del 14 maggio 2021: " (…) Il referto di RMN lombare del 23.10.2020 concludeva come segue: Non faccettopatia di rilievo. A parte un leggero ulteriore assottigliamento dello spazio intersomatico L5-S1 e una riduzione della protrusione discale in questo segmento, non dinamica dei reperti rispetto all’esame precedente del 2014. Persiste un’osteocondrosi L2-L3 e L5-S1 e una leggera condrosi L4-L5 ma con attualmente solo una minima protrusione circolare del disco L4-L5 e L5-S1 e non compressione delle strutture nervose. Nuova insorgenza invece di un discreto edema osseo L5-S1 che potrebbe essere il punto di partenza degli attuali dolori eventualmente suscettibile. Ora, un “discreto edema osseo” non costituisce un’entità nosologica codificata secondo ICD-10, e in ogni caso non è una condizione di impatto clinico tale da giustificare un’incapacità lavorativa ulteriore, soprattutto in assenza di compressione delle strutture nervose. È, piuttosto, un reperto per immagini alquanto frequente nella popolazione asintomatica di ambo i sessi a partire dalla II-III decade di vita.” (…)” (doc. VI/1) Quindi, quale nuova problematica, il SMR ha rilevato un discreto edema osseo, non costitutivo quale nuovo danno alla salute da indagare. Del resto, nel rapporto 7 gennaio 2021 il dr. __________, discutendo gli esiti della succitata RMN, non ha posto nuove diagnosi invalidanti (pagg. 548/9). Ha in particolare istruito il paziente “ ad evitare movimenti ripetitivi in flessio-estensione, torsioni e movimenti laterali del tronco, cosi come il sollevamento ripetuto di pesi superiori a 5 kg se, avviene sporadicamente, pari o superiori a 10 kg.” Ha inoltre consigliato un calo ponderale, la cessazione del tabagismo attivo, come pure lo svolgimento di attività di rinforzo della muscolatura paravertebrale posteriore e addominale. Egli ha pure affrontato il “tema inerente il trattamento farmacologico in presenza di un peggioramento del quadro algico discutendo anche sulla necessità di una infiltrazione epidurale e /o faccettaria e/o radicolare”, senza comunque fissare nuovi appuntamenti di consultazione. Certo, nel rapporto 11 gennaio 2021 alla legale dell’assicurato il succitato neurochirurgo non ha escluso che “ possa esservi prima o poi spazio per una soluzione chirurgica”, precisando tuttavia che “(…) allo stato attuale, per altro in accordo con il paziente, non abbiamo ritenuto esauriti i provvedimenti conservativi” . Egli ha anche concluso che le problematiche riscontrate hanno “ sicuramente un’influenza sulla capacità lavorativa nella professione attualmente svolta (selvicoltore)” . Il dr. med. __________ ha poi rilevato: " (…) 4)    Tenendo conto delle manovre e carichi da evitare, risulta piuttosto evidente che l'attività di selvicoltore, che sottopone il paziente a frequenti carichi sul rachide lombo-sacrale con sollevamento di pesi molto al di sopra dei 10 kg, peraltro ripetutamente o con movimenti anche qui ripetitivi in flesso-estensione del tronco o con sollevamento/spostamento di pesi lontani dal proprio baricentro, risulta poco indicata. D'altro canto ritengo che il paziente possa svolgere un’attività senza carichi diretti sul rachide lombo-sacrale e al tempo stesso associata a cambi di postura frequenti. 5)    Se l'attività di selvicoltore dovesse continuare a portare a carichi diretti sul rachide lombosacrale, ripeto, con sollevamento ripetuto di pesi superiori a 5 kg o sporadicamente superiori a 10 kg, frequenti manovre in flesso-estensione o torsione del tronco, lo ritengo inabile al 100%. D'altro canto lo ritengo invece abile completamente in una professione che tenga conto di queste limitazioni, quale ad esempio una mansione d'ufficio, con frequenti cambi di posizione cercando di non mantenere per oltre un'ora la postura seduta. (…)” (pag. 544 inc. AI) Trattasi comunque di limitazioni funzionali analoghe a quanto rilevato nella perizia del dr. med. __________, rispettivamente nel suo complemento peritale del 9 giugno 2020. Infatti nel citato rapporto 11 gennaio 2021 il dr. med. __________ ha concluso che “mi sento di concordare con quanto stabilito dal Dr. med. __________ in merito alla capacità lavorativa in una professione adatta allo stato di salute ...” (sottolineatura del redattore; pag. 544). Non determinante ai fini del giudizio è quanto sostenuto dal medico curante, dr.ssa __________, la quale, rispondendo a dei quesiti formulati dalla legale dell’assicurata, ha sostenuto un’inabilità al 50% “ per la problematica alla schiena ” senza indicare in quale genere di attività (pag. 536). Visto tutto quanto precede e in base al grado della verosimiglianza preponderante valido nell'ambito delle assicurazioni sociali (fra le tante: DTF 139 V 218 consid. 5.3),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l’assicurato è da ritenere abile, dal 1° giugno 2017, al 50% nell’abituale attività, mentre in attività adeguate rispettose delle limitazioni funzionali la capacità è del 100%. Inoltre, q uesto Tribunale ritiene che la documentazione medica agli atti contiene elementi chiari e sufficienti per valutare l'incapacità al lavoro dell'assicurato sino all'emanazione del querelato provvedimento, senza che si renda quindi necessario l'esperimento di ulteriori accertamenti richiesti dall’insorgente.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2.8.   Per quel che concerne l’aspetto economico, in merito alla determinazione del reddito da valido va ricordato che, secondo la giurisprudenza, occorre stabilire quanto la persona assicurata,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Nella decisione contestata l’Ufficio AI ha calcolato il reddito da valido come segue: " Come da inchiesta indipendenti del 29.08.2019, per definire il reddito da valido abbiamo effettuato la media dei redditi soggetti a contributi AVS tra il 2010 e 2015. Ne risulta un reddito di CHF 94'767 .” Questo modo di procedere, rimasto incontestato, è corretto. Infatti, secondo la giurisprudenza, siccome l’art. 25 cpv. 1 OAI equipara i redditi ipotetici comparativi dell’assicurazione invalidità ai redditi da lavoro soggetti a contribuzione AVS, il reddito da valido può essere determinato sulla base dei redditi iscritti nel conto individuale. Ciò vale in particolare per gli indipendenti (SVR 2010 IV nr. 26 pag. 79, cfr. STF 8C_554/2013 del 14 novembre 2013 consid. 2.1, 8C_626/2011 del 29 marzo 2012 consid. 3; cfr. in tal senso il marg. 3032.1 della Circolare sull’invalidità e la grande invalidità, CIGI). Spetta all’assicurato dimostrare che tali dati si discostano in maniera rilevante dall’effettive entrate (STF 9C_111/2009 del 21 luglio 2009 con riferimento a SVR 1999 IVG nr. 24; STFA I 705/05 del 29 gennaio 2003 consid. 2.2.1.), ciò che non è il caso in esame. Infine, correttamente l’Ufficio AI ha preso in considerazione la media dei redditi di cinque anni prima danno alla salute, ritenuto come, per giurisprudenza, sono sufficienti tre anni (cfr. al riguardo AJP 1999 p. 484 e confermata in STF I 686/03 del 29 ottobre 2004; cfr. anche 8C_611/2007 del 23 aprile 2008; cfr fra le tante, STCA 32.2016.145 del 6 giugno 2017 consid. 2.12.2 e 32.2015.29 del 30 novembre 2015 consid. 2.7.1). 2.9.   Per quel che concerne il reddito da invalido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 caso concreto, ritenendo che l’assicurato può metter a maggior frutto la sua residua capacità lavorativa in attività adeguate, l’Ufficio AI ha preso in considerazione la tabella TA dell’inchiesta sulla struttura dei salari elaborata dall’Ufficio federale di statistica. Utilizzando i dati della citata tabella relativi ad attività semplici e ripetitive, valore mediano, tenuto conto di una riduzione del 5% per attività leggere, l’amministrazione ha fissato il reddito da invalido in fr. 64'024,14 (cfr. la decisione contestata). 2.9.1.   Il ricorrente contesta l’esigibilità delle attività adeguate elencate nel rapporto 12 agosto 2021 dei consulenti IP. Rileva che le stesse non sono state mai proposte e tantomeno ventilate durante il soggiorno presso il __________ di __________. Sostiene inoltre come le attività indicate non rispettino i limiti funzionali, facendo inoltre presente di non possedere la necessaria formazione per svolgerle. Nel citato rapporto finale 12 agosto 2021 i consulenti, dopo aver riassunto l’iter di accertamento professionale, quali attività adeguate hanno indicato quanto segue: " (…) In merito alla reintegrabilità, l'A.to può svolgere l'attività abituale nella forma del 50% rispettando quanto già accennato sopra. Oltre all'attività abituale è dichiarato abile in attività adeguata nella forma completa. In attività adeguata vi sono molteplici settori dove l'A.to potrebbe essere impiegato vedi: Settore logistico: nei settori commerciale e/o industriale, se le mansioni prevista hanno a disposizione un'apposita struttura nel trasporto e spostamento delle merci. Settore della vendita: vendita all'ingrosso e/o al dettaglio di merciologia industriale/edile/da costruzione. Settore dei trasporti: consegna e trasporto di materiale di vario genere (strutture organizzate per lo spostamento delle merci). Settore commerciale: consulenza e/o gestione commerciale: ambito organizzativo, commesse, fatturazione, pianificazione lavori (sulla scorta dell'esperienza maturata in 10 anni di attività in proprio). (…)” (pag. 518 inc. AI) Certo, queste attività non sono state menzionate né valutate durante il soggiorno presso __________ di __________ (cfr. a tal riguardo il relativo rapporto 19 giugno 2020 in doc. 130). Va qui ricordato che il periodo di accertamento professionale aveva lo scopo di verificare il potenziale reinserimento dell’assicurato nel mercato del lavoro, valutando le risorse e le potenzialità per un’eventuale riformazione professionale. Riguardo al succitato accertamento professionale, nel rapporto 12 agosto 2020 i consulenti IP avevano concluso: " (…) Dopo gli accertamenti eseguiti dal __________ (__________) di __________, vedi incarto GED del 23.06.2020, non emergono le condizioni minime per intraprendere una formazione che possa dare all'A.to una possibilità di guadagno che si avvicini a quanto l'attività indipendente ha generato negli ultimi anni (media degli anni di esistenza dell’attività indipendente). Oltre a questo, si evince sempre nel rapporto __________, non sussistono neppure le condizioni di conoscenza scolastica per affrontare formazioni di livello superiore. La ricerca di attività affini o alternative non ha generato nessun risultato che possa essere tenuto in considerazione. (…)” (pag. 517) Elencate le succitate attività adeguate, i consulenti avevano poi chiuso il caso in quanto “non sussistono le premesse/condizioni per adottare provvedimenti che possano migliorare o mantenere l’attuale condizione dello stato di salute e le prospettive professionali” (pag. 518). Occorre piuttosto verificare se le attività adeguate menzionate a titolo di esempio siano effettivamente esigibili. Nel settore della logistica, secondo i consulenti, l’assicurato necessiterebbe di apposite attrezzature per il trasporto ed il carico di merci. Rettamente il ricorrente rileva che vi sono macchinari, ad esempio muletti, che permettono di spostare carichi e pesi, ma non necessariamente occorre tenere una posizione seduta per un tempo medio-lungo. Può essere sufficiente un lasso di tempo breve, con possibilità di scendere dal mezzo per alternare la posizione. Anche nella consegna e nel trasporto delle merci l’assicurato può utilizzare mezzi per spostare e trasportare pesi senza fare sforzi. Infine, contrariamente a quanto sostenuto nel ricorso, nei settori della vendita e del commercio non è indispensabile un diploma di scuola di commercio che l’assicurato, come da lui rilevato, non potrebbe conseguire. Non va del resto dimenticato che, come rilevato dai consulenti, l’assicurato vanta un’esperienza lavorativa quale indipendente di 10 anni, motivo per cui egli ha acquisito le basilari conoscenze per un’attività di vendita e di commercio. Va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Inoltre,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[denominato ora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Nella fattispecie, sulla scorta della succitata giurisprudenza, questo TCA ritiene che, come detto, l’assicurato possa svolgere attività semplici e ripetitive che non necessitano di formazione né un’esperienza professionale diversificata, né un grado di istruzione particolare (cfr. DTF 137 V 71 consid. 5.3. e SVR 2002 n. U 15 p. 49 consid. 3b; STF 8C_709/2008 del 3 aprile 2009 consid. 2.3). Non vi sono dunque motivi per scostarsi dalle succitate conclusioni dei consulenti IP. 2.9.2.   L’assicurato contesta la riduzione del 5% del reddito operata dall’amministrazione in quanto non tiene conto delle limitazioni funzionali e tantomeno delle sue scarse capacità scolastiche.  Postula che venga riconosciuta la riduzione massima del 25%. Come accennato al consid. 2.9, l'influsso di tutti i fattori sul reddito (limitazioni relative al danno alla salute, età, anni di servizio, nazionalità/tipo di permesso di residenza e grado di occupazione) deve essere valutato nel suo insieme considerando tutte le circostanze del caso concreto, facendo corretto uso del proprio potere di apprezzamento, senza che occorra procedere a una quantificazione separata di ogni fattore di riduzione. In ogni caso, la riduzione non deve superare il 25% ( DTF 135 V 297 consid. 5.2 pag. 301; 134 V 322 consid. 5.2 pag. 327 seg.; 126 V 75 consid. 5b/bb pag. 80). A questo proposito occorre ricordare che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Meyer/Reichmuth, Bundesgesetz über die Invalidenversicherung (IVG), 2014, ad art. 28a n. 100 e segg.). Inoltre il TF (cfr. consid. 4.4.3), riferendosi all'art. 57 LPGA, ha ricordato che il giudice delle assicurazioni sociali non può, senza motivi pertinenti, sostituire semplicemente il suo apprezzamento a quello dell'autorità amministrativa; egli deve appoggiarsi sulle circostanze che sono di natura a dimostrare il proprio apprezzamento come il più appropriato ( DTF 137 V 71 consid. 5.2 pag. 73 con riferimento). Ritornando alla fattispecie in esame, con rapporto 1° luglio 2020 il consulente CIP, esaminate le circostanze specifiche concrete, tenuto conto delle limitazioni funzionali rilevate dal perito e confermate dal SMR, ha valutato una riduzione del 5% legata al fatto che l’assicurato può svolgere unicamente attività leggere (doc. 136). Inoltre, nella presa di posizione 30 marzo 2021 lo stesso consulente ha pertinentemente concluso che “(…) l’A.to ha 34 anni, età decisamente non avanzata, la nazionalità è svizzera e pertanto non necessita di permessi di dimora o di lavoro; inoltre è ben integrato. Le affezioni invalidanti permettono, come definito nel SMR Rapporto medico una capacità lavorativa del 50% in attività abituale e del 100% in attività adeguata e come scritto al punto N.5 il tessuto lavorativo ticinese offre sufficienti opportunità di lavoro. In considerazione di quanto sopra si ribadisce che la riduzione totale del 5% è giustificata e non si applicano ulteriori riduzioni per altri fattori citati dal rappresentante legale (…) ” (doc. 157). Si rileva inoltre la giovane età dell’assicurato (34 anni al momento dell’emissione della decisione contestata) per potersi adattare alle nuove attività. Inoltre, come correttamente evidenziato nella risposta di causa, il Tribunale federale ha più volte negato la rilevanza del fattore "età" in relazione a lavoratori ausiliari, fattore che non solo non si ripercuote negativamente sul reddito ipotetico da invalido, ma addirittura incide favorevolmente su di esso  cfr .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 (STF 8C_319/2007 del 6 maggio 2008 consid. 8.3; in questo senso, si vedano pure STF 8C_712/2012 del 30 novembre 2012 consid. 4.2.3, STF 8C_361/2011 del 20 luglio 2011, STF 8C_373/2008 del 28 agosto 2008 consid. 5.2.2.2 e STF 8C_292/2009 del 10 giugno 2009 consid. 5.2.1). Va poi osservato che la scarsa formazione professionale non giustifica ulteriori decurtazioni, considerato che le attività adeguate entranti in linea di conto (livello 1 attività semplici di tipo fisico o manuale; corrispondente al precedente livello di qualifica 4: attività semplici e ripetitive) non richiedono né un’esperienza professionale diversificata, né un grado di istruzione particolare (cfr. in questo senso DTF 137 V 71 consid. 5.3 e STF 8C_709/2008 del 3 aprile 2009 consid. 2.3 con riferimenti). Fatte queste premesse, tenuto conto del riserbo di cui deve dare prova il giudice delle assicurazioni sociali nel sostituire il proprio apprezzamento a quello dell’amministrazione (cfr. DTF 137 V 71, 132 V 393 consid. 3.3), questa Corte ritiene che, operando una decurtazione del 5%, l’amministrazione non abbia abusato del proprio potere di apprezzamento. Di conseguenza, per la determinazione del reddito da invalido, occorre partire d all'inchiesta svizzera sulla struttura dei salari 2018 (cfr., a proposito del 2012, la sentenza 9C_632/2015 del 4 aprile 2016 pubblicata in DTF 142 V 178, in particolare consid. 2.5.7), edita dall'Ufficio federale di statistica, più precisamente dalla tabella TA1 2018 tirage skill_level (NOGA08, RSS 2018; salario mensile lordo [valore centrale] secondo il ramo economico, il livello di competenze e il sesso; cfr., per il 2012, la sentenza 9C_632/2015 del 4 aprile 2016 pubblicata in DTF 142 V 178), dalla quale risulta che il salario lordo mediamente percepito in quell'anno dagli uomini per un'attività semplice di tipo fisico o manuale (ossia il livello 1 di competenze; cfr. sentenza 9C_632/2015 del 4 aprile 2016 pubblicata in DTF 142 V 178, consid. 2.5.7) di 40 ore settimanali nel settore privato (circa la rilevanza delle condizioni salariali nel settore privato , cfr. RAMI 2001 U 439 pag. 347 segg. e SVR 2002 UV 15 pag. 47 segg.), corrisponde ad un importo di fr. 65’004.- (fr. 5'417 X 12 mesi). Questi dati si riferiscono, però, ad un tempo lavorativo di 40 ore alla settimana. Riportando queste cifre su un orario medio di lavoro settimanale nelle aziende di 41,7 ore computabili nel 2018 (cfr. per questo aspetto, STF I 203/03 del 21 luglio 2003, consid. 4.4; vedi anche sentenza U 8/07 del 20 febbraio 2008 e la tabella: “ Durée normale du travail dans les entreprises selon la division économique ”), il salario lordo medio ipotetico nazionale da invalido per un uomo ammonta a fr. 67'766.67 (fr. 65’004: 40 x 41,7), ritenuto che la quota di tredicesima è già compresa (STF U 274/98 del 18 febbraio 1999, consid. 3a), così come correttamente riportato nella risposta di causa. Ritenuto che l’assicurato è pienamente abile al lavoro in attività adeguate, tenuto conto di una riduzione sociale del 5%, il reddito da invalido corrisponde a fr. 64'378.--. 2.9.3.   Dal raffronto tra il reddito da valido di fr. 94'767.-- ed il reddito da invalido di fr. 64'378.-- risulta un grado d’invalidità del 32%. Vista l’importante differenza per raggiungere il grado d’invalidità pensionabile, non è necessario, poiché ininfluente per l’esito della vertenza, aggiornare i dati al 2021, anno della decisione contestata. Visto quanto sopra, la decisione contestata merita conferma, mentre il ricorso va respinto. 2.10.   Per l'art. 69 cpv. 1bis LAI in vigore dal 1° gennaio 2021 ed applicabile in concreto (in virtù della disposizione transitoria dell'art. 82a LPGA a contrario in combinazione con gli art. 61 lett. a e fbis LPGA, anch'essi nel tenore in vigore dal 1° gennaio 2021),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di fr. 500.- 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