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32.2021.49 vom 14. Oktober 2021</w:t>
      </w:r>
    </w:p>
    <w:p>
      <w:r>
        <w:t>TI Tribunale d'appello, 2021-10-14, IT</w:t>
      </w:r>
    </w:p>
    <w:p>
      <w:r>
        <w:rPr>
          <w:b/>
        </w:rPr>
        <w:t xml:space="preserve">Quelle: </w:t>
      </w:r>
      <w:r>
        <w:t>https://mcp.opencaselaw.ch/entscheid/ti_gerichte_32.2021.49</w:t>
      </w:r>
    </w:p>
    <w:p>
      <w:r>
        <w:t>FR: TI_GERICHTE 32.2021.49 du 14 octobre 2021</w:t>
      </w:r>
    </w:p>
    <w:p>
      <w:r>
        <w:t>IT: TI_GERICHTE 32.2021.49 del 14 ottobre 2021</w:t>
      </w:r>
    </w:p>
    <w:p>
      <w:pPr>
        <w:pStyle w:val="Heading2"/>
      </w:pPr>
      <w:r>
        <w:t>Volltext</w:t>
      </w:r>
    </w:p>
    <w:p>
      <w:r>
        <w:t>Incarto n.32.2021.49</w:t>
      </w:r>
    </w:p>
    <w:p>
      <w:r>
        <w:t>BS/RG</w:t>
      </w:r>
    </w:p>
    <w:p>
      <w:r>
        <w:t>Lugano</w:t>
      </w:r>
    </w:p>
    <w:p>
      <w:r>
        <w:t>14 ottobre 2021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con redattore:</w:t>
      </w:r>
    </w:p>
    <w:p>
      <w:r>
        <w:t>Marco Bischof, vicecancelliere</w:t>
      </w:r>
    </w:p>
    <w:p>
      <w:r>
        <w:t>segretario:</w:t>
      </w:r>
    </w:p>
    <w:p>
      <w:r>
        <w:t>Gianluca Menghetti</w:t>
      </w:r>
    </w:p>
    <w:p>
      <w:r>
        <w:t>statuendo sul ricorso del 13 aprile 2021 di</w:t>
      </w:r>
    </w:p>
    <w:p>
      <w:r>
        <w:t>RI 1</w:t>
      </w:r>
    </w:p>
    <w:p>
      <w:r>
        <w:t>contro</w:t>
      </w:r>
    </w:p>
    <w:p>
      <w:r>
        <w:t>la decisione (incidentale) dell11 marzo 2021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La decisione con la quale viene rifiutata la visione degli atti va emessa sottoforma di decisione incidentale non soggetta a opposizione e direttamente impugnabile davanti al TCA (SVR 1996 IV Nr. 68 p. 199; cfr. anche Müller, Das Verwaltungsverfahren in der Invalidenversicherung, 2010, § 24 n. 1464 e Kieser, ATSG  Kommentar, 2020, art. 49 n. 40 pag. 890, art. 52 n. 56 - 59 pag. 947 e art. 60 n. 5 pag.1074; entrambi con riferimenti giurisprudenziali e dottrinali).</w:t>
      </w:r>
    </w:p>
    <w:p>
      <w:r>
        <w:t>Presupposto per un ricorso contro una decisione incidentale, in particolare in relazione allallestimento di una perizia, è lesistenza di un danno irreparabile ai sensi dellart. 46 cpv. 1 lett. a LPA (DTF 138 V 275 consid. 1.2.1).</w:t>
      </w:r>
    </w:p>
    <w:p>
      <w:r>
        <w:t>Un pregiudizio irreparabile è un danno di natura giuridica che non può essere riparato ulteriormente da un giudizio finale o da un'altra decisione favorevole al ricorrente (DTF 133 IV 139 consid. 4 pag. 141, 288 consid. 3.1 pag. 291). Per contro, un danno meramente fattuale, come può essere il prolungamento della procedura o un aumento delle sue spese, non può essere considerato irreparabile.</w:t>
      </w:r>
    </w:p>
    <w:p>
      <w:r>
        <w:t>Spetta alla parte ricorrente allegare e dimostrare la possibilità che una decisione incidentale le causi un danno irreparabile (DTF 134 III 426consid. 1.2 e riferimenti ivi menzionati), a meno che la presenza di questultimo appaia a priori data (STF 8C_871/2013 del 20 dicembre 2013 consid. 1.2; 8C_780/2011 del 4 dicembre 2012 consid. 1.2.1), ritenuto che trattandosi di decisione incidentale in assenza di un danno irreparabile il ricorso contro la stessa va dichiarato irricevibile (STF 9C_ 9C_805/2007; STCA 38.2019.54 del 6 novembre 2019; art. 93 cpv. 1 lett. a LTF).</w:t>
      </w:r>
    </w:p>
    <w:p>
      <w:r>
        <w:t>Visto l'esito della vertenza, le spese di fr. 500 vanno poste a carico della ricorrente.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vicepresidente                                                   Il segretario di Camera</w:t>
      </w:r>
    </w:p>
    <w:p>
      <w:r>
        <w:t>giudice Raffaele Guffi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