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32.2021.40 vom 11. Oktober 2021</w:t>
      </w:r>
    </w:p>
    <w:p>
      <w:r>
        <w:t>TI Tribunale d'appello, 2021-10-11, IT</w:t>
      </w:r>
    </w:p>
    <w:p>
      <w:r>
        <w:rPr>
          <w:b/>
        </w:rPr>
        <w:t xml:space="preserve">Quelle: </w:t>
      </w:r>
      <w:r>
        <w:t>https://mcp.opencaselaw.ch/entscheid/ti_gerichte_32.2021.40</w:t>
      </w:r>
    </w:p>
    <w:p>
      <w:r>
        <w:t>FR: TI_GERICHTE 32.2021.40 du 11 octobre 2021</w:t>
      </w:r>
    </w:p>
    <w:p>
      <w:r>
        <w:t>IT: TI_GERICHTE 32.2021.40 del 11 ottobre 2021</w:t>
      </w:r>
    </w:p>
    <w:p>
      <w:pPr>
        <w:pStyle w:val="Heading2"/>
      </w:pPr>
      <w:r>
        <w:t>Volltext</w:t>
      </w:r>
    </w:p>
    <w:p>
      <w:r>
        <w:t>Raccomandata</w:t>
      </w:r>
    </w:p>
    <w:p>
      <w:r>
        <w:t>Incarto n.32.2021.40</w:t>
      </w:r>
    </w:p>
    <w:p>
      <w:r>
        <w:t>TB</w:t>
      </w:r>
    </w:p>
    <w:p>
      <w:r>
        <w:t>Lugano</w:t>
      </w:r>
    </w:p>
    <w:p>
      <w:r>
        <w:t>11 ottobre 2021</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Tanja Balmelli, vicecancelliera</w:t>
      </w:r>
    </w:p>
    <w:p>
      <w:r>
        <w:t>segretario:</w:t>
      </w:r>
    </w:p>
    <w:p>
      <w:r>
        <w:t>Gianluca Menghetti</w:t>
      </w:r>
    </w:p>
    <w:p>
      <w:r>
        <w:t>statuendo sul ricorso del 15 marzo 2021 di</w:t>
      </w:r>
    </w:p>
    <w:p>
      <w:r>
        <w:t>RI 1</w:t>
      </w:r>
    </w:p>
    <w:p>
      <w:r>
        <w:t>contro</w:t>
      </w:r>
    </w:p>
    <w:p>
      <w:r>
        <w:t>la decisione dell'11 febbraio 2021 emanata da</w:t>
      </w:r>
    </w:p>
    <w:p>
      <w:r>
        <w:t>Ufficio assicurazione invalidità,6501 Bellinzona</w:t>
      </w:r>
    </w:p>
    <w:p>
      <w:r>
        <w:t>in materia di assicurazione federale per l'invalidità</w:t>
      </w:r>
    </w:p>
    <w:p>
      <w:r>
        <w:t>ritenutoin fatto</w:t>
      </w:r>
    </w:p>
    <w:p>
      <w:r>
        <w:t>consideratoin diritto</w:t>
      </w:r>
    </w:p>
    <w:p>
      <w:r>
        <w:t>Gli elementi fondamentali dell'invalidità, secondo la surriferita definizione, sono dunque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agli artt.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w:t>
      </w:r>
    </w:p>
    <w:p>
      <w:r>
        <w:t>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w:t>
      </w:r>
    </w:p>
    <w:p>
      <w:r>
        <w:t>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w:t>
      </w:r>
    </w:p>
    <w:p>
      <w:r>
        <w:t>Questo tema è stato definitivamente risolto dalla nostra Massima Istanza nella sentenza 8C_44/2009 del 3 giugno 2009, in cui ha ricordato che:</w:t>
      </w:r>
    </w:p>
    <w:p>
      <w:r>
        <w:t>"3.3In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w:t>
      </w:r>
    </w:p>
    <w:p>
      <w:r>
        <w:t>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Tribunale federale ha ricordato che non vi è una presunzione in tal senso.</w:t>
      </w:r>
    </w:p>
    <w:p>
      <w:r>
        <w:t>Visto l'esito della vertenza, le spese per complessivi Fr. 500.- vanno poste a carico dell'insorgente.</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