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32.2021.22 vom 15. Januar 2021</w:t>
      </w:r>
    </w:p>
    <w:p>
      <w:r>
        <w:t>TI Tribunale d'appello, 2021-01-15, IT</w:t>
      </w:r>
    </w:p>
    <w:p>
      <w:r>
        <w:rPr>
          <w:b/>
        </w:rPr>
        <w:t xml:space="preserve">Quelle: </w:t>
      </w:r>
      <w:r>
        <w:t>https://mcp.opencaselaw.ch/entscheid/ti_gerichte_32.2021.22</w:t>
      </w:r>
    </w:p>
    <w:p>
      <w:r>
        <w:t>FR: TI_GERICHTE 32.2021.22 du 15 janvier 2021</w:t>
      </w:r>
    </w:p>
    <w:p>
      <w:r>
        <w:t>IT: TI_GERICHTE 32.2021.22 del 15 gennaio 2021</w:t>
      </w:r>
    </w:p>
    <w:p>
      <w:pPr>
        <w:pStyle w:val="Heading2"/>
      </w:pPr>
      <w:r>
        <w:t>Regeste</w:t>
      </w:r>
    </w:p>
    <w:p>
      <w:r>
        <w:t>Nuova domanda. Visto che l'insorgente non ha reso verosimile una modifica della sua situazione valetudinaria tale da incidere sulla capacità lavorativa e ritenuto che le prove addotte con il ricorso sono tardive, a ragione l'Ufficio AI non è entrato nel merito. Diritto di essere sentito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settembre 2008). Visto l’esito della vertenza, le spese per fr. 500.-- sono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