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32.2021.132 vom 12. November 2021</w:t>
      </w:r>
    </w:p>
    <w:p>
      <w:r>
        <w:t>TI Tribunale d'appello, 2021-11-12, IT</w:t>
      </w:r>
    </w:p>
    <w:p>
      <w:r>
        <w:rPr>
          <w:b/>
        </w:rPr>
        <w:t xml:space="preserve">Quelle: </w:t>
      </w:r>
      <w:r>
        <w:t>https://mcp.opencaselaw.ch/entscheid/ti_gerichte_32.2021.132</w:t>
      </w:r>
    </w:p>
    <w:p>
      <w:r>
        <w:t>FR: TI_GERICHTE 32.2021.132 du 12 novembre 2021</w:t>
      </w:r>
    </w:p>
    <w:p>
      <w:r>
        <w:t>IT: TI_GERICHTE 32.2021.132 del 12 novembre 2021</w:t>
      </w:r>
    </w:p>
    <w:p>
      <w:pPr>
        <w:pStyle w:val="Heading2"/>
      </w:pPr>
      <w:r>
        <w:t>Regeste</w:t>
      </w:r>
    </w:p>
    <w:p>
      <w:r>
        <w:t>Ricorrente non più reintegrabile nel libero mercato del lavoro. Acquiescenza (adesione) integrale dell’UAI al gravame: alla ricorrente è riconosciuto il diritto ad una rendita intera. Ricorso accolto integralmente</w:t>
      </w:r>
    </w:p>
    <w:p>
      <w:pPr>
        <w:pStyle w:val="Heading2"/>
      </w:pPr>
      <w:r>
        <w:t>Erwägungen</w:t>
      </w:r>
    </w:p>
    <w:p>
      <w:r>
        <w:rPr>
          <w:b/>
        </w:rPr>
        <w:t>E. 49</w:t>
      </w:r>
    </w:p>
    <w:p>
      <w:r>
        <w:t>cpv. 2 LOG (cfr. pro multis STF 9C_699/2014 del 31 agosto 2015, in particolare consid. 5.2, 5.3 e 6.1; STF 8C_452/2011 del 12 marzo 2012; STF 9C_807/2014 del 9 settembre 2015; STF 9C_585/2014 dell’8 settembre 2015). nel merito 2.2.   Oggetto del contendere è sapere se l’assicurata ha diritto a prestazioni dell’assicurazione invalidità maggiori di quelle riconosciutele con la decisione impugnata. Va rilevato che il 1° gennaio 2022, ossia dopo l’emanazione della decisione impugnata, è entrata in vigore una (importante) modifica della LAI e dell’OAI che concerne (anche) il diritto alla rendita (cfr. RU 2021 705). Occorre tuttavia ricordare che per la disamina del diritto a una rendita di invalidità eventualmente già insorto in precedenza, di norma,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 In concreto al ricorso contro la decisione emanata il 12 novembre 2021 – data che, di principio, delimita temporalmente il potere cognitivo del giudice delle assicurazioni sociali – si applicano le norme sostanziali in vigore fino a quel momento. Per cui ogni riferimento alle norme applicabili in concreto, salvo indicazione contraria, va inteso nel tenore in vigore fino al 31 dicembre 2021. 2.3.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Basilea/Ginevra/Monaco di Baviera 2007, pag. 1411, n. 46). Per incapacità al lavoro s’intende qualsiasi incapacità, totale o parziale, derivante da un danno alla salute fisica, mentale o psichica di compiere un lavoro ragionevolmente esigibile nella professione o nel campo di attività abituale. In caso di incapacità al lavoro di lunga durata possono essere prese in considerazione anche le mansioni esigibili in un’altra professione o campo d’attività (art. 6 LPGA).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Al proposito va precisato che, secondo la giurisprudenza del Tribunale federale,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 I 600/01 del 26 giugno 2003, consid. 3.1; STF I 475/01 del 13 giugno 2003, consid. 4.1). 2.4.   Nel caso in esame, la domanda di causa della ricorrente (cfr. supra consid. 1.9.) è da intendere quale richiesta di accertamento di un grado AI superiore a quello indicato nella decisione impugnata, ossia superiore al 55%, rispettivamente 40% (cfr. supra consid. 1.8.). A tal proposito, con la risposta di causa l’UAI, dopo aver nuovamente sottoposto la fattispecie al vaglio del medico SMR e aver rilevato che la consulente in integrazione aveva ritenuto l’assicurata non reintegrabile nel mercato del lavoro libero, ha proposto l’accoglimento del gravame nel senso che a RI 1 venga riconosciuta una rendita intera dal 1. agosto 2019 con versamento al 1. dicembre 2019, ovvero sei mesi dopo la presentazione della domanda di prestazioni (cfr. supra consid. 1.1. e 1.10). Pertanto, la risposta di causa dell’UAI configura un’adesione (acquiescenza) integrale alla pretesa di causa attorea (cfr. STF 9C_570/2007 del 5 marzo 2008, consid. 1.2., STCA 36.2009.180 del 25 gennaio 2010, p. 4 e segg.). Nell’evenienza concreta, vagliata la documentazione agli atti (in particolare il rapporto della consulente AI con il quale quest’ultima ha accertato l’impossibilità di reintegrare RI 1 nel libero mercato del lavoro, cfr. supra consid. 1.7.) e ritenuto che nulla osta, sul piano giuridico o fattuale (il fatto che l’amministrazione non ha quantificato l’ammontare della rendita intera a cui l’insorgente ha diritto non impedisce in concreto l’emanazione della sentenza, cfr. la citata STCA 36.2009.180, p. 8), a procedere come da richiesta dell’UAI (ossia accogliendo il ricorso e riconoscendo il diritto ad una rendita intera dal 1. agosto 2019 e relativo versamento dal 1. dicembre 2019, cfr. supra consid. 1.10), questa Corte non rileva alcun elemento che osti all’accoglimento del gravame come da formulazione dell’UAI nell’allegato responsivo (cfr. supra consid. 1.10). Pertanto, la decisione dell’UAI del 12 novembre 2021 è annullata e la ricorrente è posta al beneficio di una rendita intera a far tempo dal 1. agosto 2019; il versamento della rendita è da effettuarsi retroattivamente dal 1. dicembre 2019, ossia sei mesi dopo la presentazione della domanda di prestazioni (cfr. supra consid. 1.1.), conformemente all’art. 29 cpv. 1 LAI. 2.5.   Secondo l'art. 69 cpv. 1bis LAI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