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32.2021.105 vom 27. August 2021</w:t>
      </w:r>
    </w:p>
    <w:p>
      <w:r>
        <w:t>TI Tribunale d'appello, 2021-08-27, IT</w:t>
      </w:r>
    </w:p>
    <w:p>
      <w:r>
        <w:rPr>
          <w:b/>
        </w:rPr>
        <w:t xml:space="preserve">Quelle: </w:t>
      </w:r>
      <w:r>
        <w:t>https://mcp.opencaselaw.ch/entscheid/ti_gerichte_32.2021.105</w:t>
      </w:r>
    </w:p>
    <w:p>
      <w:r>
        <w:t>FR: TI_GERICHTE 32.2021.105 du 27 août 2021</w:t>
      </w:r>
    </w:p>
    <w:p>
      <w:r>
        <w:t>IT: TI_GERICHTE 32.2021.105 del 27 agosto 2021</w:t>
      </w:r>
    </w:p>
    <w:p>
      <w:pPr>
        <w:pStyle w:val="Heading2"/>
      </w:pPr>
      <w:r>
        <w:t>Volltext</w:t>
      </w:r>
    </w:p>
    <w:p>
      <w:r>
        <w:t>Incarto n.32.2021.105</w:t>
      </w:r>
    </w:p>
    <w:p>
      <w:r>
        <w:t>cr</w:t>
      </w:r>
    </w:p>
    <w:p>
      <w:r>
        <w:t>Lugano</w:t>
      </w:r>
    </w:p>
    <w:p>
      <w:r>
        <w:t>2 dicembre 2021</w:t>
      </w:r>
    </w:p>
    <w:p>
      <w:r>
        <w:t>In nomedella Repubblica e CantoneTicino</w:t>
      </w:r>
    </w:p>
    <w:p>
      <w:r>
        <w:t>Il vicepresidente</w:t>
      </w:r>
    </w:p>
    <w:p>
      <w:r>
        <w:t>del Tribunale cantonale delle assicurazioni</w:t>
      </w:r>
    </w:p>
    <w:p>
      <w:r>
        <w:t>Giudice Raffaele Guffi</w:t>
      </w:r>
    </w:p>
    <w:p>
      <w:r>
        <w:t>con redattrice:</w:t>
      </w:r>
    </w:p>
    <w:p>
      <w:r>
        <w:t>Cinzia Raffa Somaini, vicecancelliera</w:t>
      </w:r>
    </w:p>
    <w:p>
      <w:r>
        <w:t>segretario:</w:t>
      </w:r>
    </w:p>
    <w:p>
      <w:r>
        <w:t>Gianluca Menghetti</w:t>
      </w:r>
    </w:p>
    <w:p>
      <w:r>
        <w:t>statuendo sul ricorso del 14 settembre 2021 di</w:t>
      </w:r>
    </w:p>
    <w:p>
      <w:r>
        <w:t>RI 1</w:t>
      </w:r>
    </w:p>
    <w:p>
      <w:r>
        <w:t>contro</w:t>
      </w:r>
    </w:p>
    <w:p>
      <w:r>
        <w:t>la decisione del 27 agosto 2021 emanata da</w:t>
      </w:r>
    </w:p>
    <w:p>
      <w:r>
        <w:t>Ufficio assicurazione invalidità,6501 Bellinzona</w:t>
      </w:r>
    </w:p>
    <w:p>
      <w:r>
        <w:t>in materia di assicurazione federale per l'invalidità</w:t>
      </w:r>
    </w:p>
    <w:p>
      <w:r>
        <w:t>ritenutoin fatto</w:t>
      </w:r>
    </w:p>
    <w:p>
      <w:r>
        <w:t>consideratoin diritto</w:t>
      </w:r>
    </w:p>
    <w:p>
      <w:r>
        <w:t>in ordine</w:t>
      </w:r>
    </w:p>
    <w:p>
      <w:r>
        <w:t>In una sentenza 8C_539/2008 del 13 gennaio 2009 il TF si è pronunciato sul caso di unassicurata che non contestava né lentità della rendita AI attribuita, né linizio della determinazione della rendita, ma nellottica del riconoscimento di una rendita dinvalidità della previdenza professionale, pretendeva soltanto unaltra definizione dellinsorgenza dellinvalidità. LAlta Corte non ha riconosciuto un interesse degno di protezione allannullamento della decisione dellAI, in quanto linsorgente non aveva chiesto alcuna modificazione del dispositivo della decisione, ma censurava un elemento della determinazione della rendita e, con ciò la motivazione della prestazione riconosciutale (SVR 2009 BVG nr. 27).</w:t>
      </w:r>
    </w:p>
    <w:p>
      <w:r>
        <w:t>Allorquando in discussione è il grado dinvalidità, la giurisprudenza non riconosce linteresse degno di protezione se la chiesta modifica del grado dinvalidità non incide sul diritto alla prestazione dellassicuratore sociale interessato (ad esempio la correzione del grado dinvalidità dal 63 al 68%; cfr. SVR 2006 IV nr. 48; citato in Kieser, ATSG Kommentar, 2a edizione, ad Art. 59 N. 7).</w:t>
      </w:r>
    </w:p>
    <w:p>
      <w:r>
        <w:t>"Da un lato perché per il calcolo della media retrospettiva non è determinante il grado di invalidità esatto, quanto piuttosto quello dell'incapacità lavorativa. Dall'altro perché gli accertamenti degli organi AI esplicano effetto vincolante nei confronti degli istituti di previdenza solo limitatamente a quegli aspetti che nella procedura AI si sono dimostrati decisivi per la fissazione del diritto a una rendita d'invalidità (cfr. a tal proposito DTF 130 V 270 consid. 3.1 pag. 273; SVR 2007 IV n. 3 pag. 8 consid. 3 [I 808/05]). L'accertamento di un grado d'invalidità che non raggiunge il limite di legge del 40% (art. 28 LAI) non esplica per contro effetto vincolante perché in una simile evenienza gli organi dell'AI non hanno (avuto) motivo di determinare esattamente il tasso d'invalidità (cfr. pure sentenze 8C_696/2008 del 3 giugno 2009 consid. 11 e 9C_8/2009 del 30 marzo 2009 consid. 3.2 con riferimenti."</w:t>
      </w:r>
    </w:p>
    <w:p>
      <w:r>
        <w:t>4.1 Come si evince dagli art. 23, 24 cpv. 1 e 26 cpv. 1 LPP, fra primo (assicurazione per l'invalidità) e secondo pilastro (previdenza professionale) esiste un forte legame funzionale. Questo legame mira, da un lato, a garantire un coordinamento materiale esteso tra primo e secondo pilastro e, dall'altro, a esentare quanto più possibile gli organi della previdenza professionale dai dispendiosi accertamenti riguardanti le condizioni, l'estensione e l'inizio del diritto alle prestazioni d'invalidità del secondo pilastro (DTF 133 V 67 consid. 4.3.2 pag. 69; 132 V 1 consid. 3.2 pag. 4). Tanto in materia di previdenza obbligatoria quanto in materia di previdenza più estesa (se l'istituto di previdenza ha deciso per via di regolamento di estendere la previdenza al di là delle esigenze minime di legge), la valutazione dell'invalidità effettuata dagli organi dell'assicurazione per l'invalidità assume, in assenza, come in concreto, di disposizione statutaria contraria, forza vincolante per gli organi della previdenza professionale. Sempre che tale valutazione non risulti manifestamente insostenibile e che l'istituto di previdenza sia stato adeguatamente coinvolto nella procedura AI, ciò significa in particolare che il diritto a una rendita d'invalidità LPP (art. 23 LPP), la sua entità (art. 24 cpv. 1 LPP) e il suo inizio (art. 26 cpv. 1 LPP) si determinano per analogia alle disposizioni della LAI (DTF 134 V 64 consid. 4.1.2 pag. 70).</w:t>
      </w:r>
    </w:p>
    <w:p>
      <w:r>
        <w:t>()</w:t>
      </w:r>
    </w:p>
    <w:p>
      <w:r>
        <w:t>4.3 Richiamata la prassi esposta al considerando 4.1, non vi è motivo per non riprendere la vincolante valutazione dell'AI e per non riconoscere all'assicurato, almeno nel suo principio, una rendita intera dal 1° agosto 2009 (cfr. art. 26 cpv. 1 LPP in relazione con l'art. 29 cpv. 1 LAI; Hans-Ulrich Stauffer, Berufliche Vorsorge, 2a ed. 2012, pag. 337 n. 921) al 31 marzo 2010, oltre alle rendite per i due figli X.________ e Y.________ (art. 25 LPP), per le conseguenze invalidanti di natura somatica (...)</w:t>
      </w:r>
    </w:p>
    <w:p>
      <w:r>
        <w:t>2.4.  In ambito di assicurazione contro la disoccupazionelart. 22 cpv. 1 LADI stabilisce chelindennità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w:t>
      </w:r>
    </w:p>
    <w:p>
      <w:r>
        <w:t>Giusta il cpv. 2 della disposizione appena citata, ricevono unindennità giornaliera pari al 70 per cento del guadagno assicurato gli assicurati che:</w:t>
      </w:r>
    </w:p>
    <w:p>
      <w:r>
        <w:t>a.  non hanno obblighi di mantenimento nei confronti di figli;</w:t>
      </w:r>
    </w:p>
    <w:p>
      <w:r>
        <w:t>b.  beneficiano di unindennità giornaliera intera, il cui importo supera i 140 franchi; e</w:t>
      </w:r>
    </w:p>
    <w:p>
      <w:r>
        <w:t>c.non riscuotono una rendita di invalidità corrispondente almeno a un grado di invalidità del 40 per cento.</w:t>
      </w:r>
    </w:p>
    <w:p>
      <w:r>
        <w:t>L'art. 23 cpv. 1 LADI stabilisce che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w:t>
      </w:r>
    </w:p>
    <w:p>
      <w:r>
        <w:t>L'art. 40b OADI prevede che nel caso di assicurati che subiscono, a cagione del loro stato di salute, una menomazione della loro capacità lucrativa durante la disoccupazione o immediatamente prima, è determinante il guadagno che corrisponde alla capacità lucrativa rimanente.</w:t>
      </w:r>
    </w:p>
    <w:p>
      <w:r>
        <w:t>A questo proposito la SECO, in una direttiva pubblicata in 015-Prassi LADI 2010/29-30 Le persone disabili nel sistema dellAD dellottobre 2010, ha stabilito che:</w:t>
      </w:r>
    </w:p>
    <w:p>
      <w:r>
        <w:t>"()</w:t>
      </w:r>
    </w:p>
    <w:p>
      <w:r>
        <w:t>3. Importo dellindennità dopo la decisione dellAI</w:t>
      </w:r>
    </w:p>
    <w:p>
      <w:r>
        <w:t>Larticolo 40bOADI stabilisce che, nel caso di assicurati che subiscono, a cagione del loro stato di salute, una menomazione della loro capacità lucrativa durante la disoccupazione o immediatamente prima, è determinante il guadagno che corrisponde alla capacità lucrativa rimanente. Per "menomazione della capacità lucrativa" si intende linvalidità constatata dallUfficio AI (cfr. sentenze del Tribunale federale del 18.7.2007 in causa P. [C 110/06] e dell1.2.2006 in causa S. [C 140/05]).</w:t>
      </w:r>
    </w:p>
    <w:p>
      <w:r>
        <w:t>Il senso e lo scopo dellarticolo 40bOADI consistono nel limitare lobbligo dellassicurazione contro la disoccupazione di versare le prestazioni a una percentuale che corrisponde alla capacità lucrativa rimanente della persona assicurata per lintera durata della sua disoccupazione.</w:t>
      </w:r>
    </w:p>
    <w:p>
      <w:r>
        <w:t>Eventuali perdite di prestazioni dovute allo stato di salute possono naturalmente ripercuotersi sul salario soltanto se non si sono verificate immediatamente prima o addirittura durante la disoccupazione. In altri termini: se una menomazione della capacità lucrativa dovuta a motivi di salute si verifica immediatamente prima o durante la disoccupazione, lattuale capacità produttiva non corrisponde più a quella esistente prima della disoccupazione, che rappresentava la base del salario. Siccome però il salario ricevuto prima dellinizio della disoccupazione costituisce la base di calcolo del guadagno assicurato, in questi casi occorre effettuare un adeguamento secondo larticolo 40bOADI.</w:t>
      </w:r>
    </w:p>
    <w:p>
      <w:r>
        <w:t>Si deve pertanto apportare una correzione conformemente allarticolo 40bOADI se il guadagno assicurato si basa su un salario che la persona assicurata, al momento della disoccupazione, non potrebbe più ricevere a causa di uninvalidità verificatasi nel frattempo.</w:t>
      </w:r>
    </w:p>
    <w:p>
      <w:r>
        <w:t>Immediatezza ai sensi dellarticolo 40bOADI esiste quindi se la menomazione della capacità lucrativa dovuta a motivi di salute non si è (ancora) ripercossa sul salario, che secondo larticolo 23 capoverso 1 LADI congiuntamente allarticolo 37 OADI costituisce la base di calcolo del guadagno assicurato.</w:t>
      </w:r>
    </w:p>
    <w:p>
      <w:r>
        <w:t>Questa correzione del guadagno assicurato deve essere effettuata al momento della decisione dellassicurazione-invalidità (cfr. cifra marg. C29 Circ. ID), indipendentemente dal fatto che linvalidità constatata giustifichi o meno il versamento di una rendita (cfr. in merito le sentenze del Tribunale federale C 256/06 e C 79/06 [= DTF 133 V 524]).</w:t>
      </w:r>
    </w:p>
    <w:p>
      <w:r>
        <w:t>Inoltre è irrilevante il fatto di sapere se la persona in questione interporrà ricorso contro la decisione dellassicurazione-invalidità; la correzione del guadagno assicurato deve essere effettuata immediatamente dopo che è stata emanata la decisione dellAI.</w:t>
      </w:r>
    </w:p>
    <w:p>
      <w:r>
        <w:t>Nel caso giudicato dal TF, lUAI aveva stabilito un grado dinvalidità, non pensionabile, del 33%, preso in considerazione dalla Cassa di disoccupazione nel calcolo del guadagno assicurato. LAlta Corte ha rinviato lincarto allamministrazione per stabilire se, dopo lemissione della decisione da parte dellUAI, vi era stato un miglioramento dello stato di salute del ricorrente.Al consid. 6.1 il TF ha rilevato che Es ist dem kantonalen Gericht beizupflichten, dass es Konstellationen gibt, in welchen das Abstellen auf den im IV-Verfahren ermittelten Invaliditätsgrad problematisch ist und zu ungerechten Ergebnissen führen kann. Zu beachten ist unter den vorliegenden Umständen insbesondere, dass der Versicherte im IV-Verfahren grundsätzlich kein schutzwürdiges Interesse daran hatte, einen geringeren Invaliditätsgrad oder überhaupt eine fehlende Invalidität geltend zu machen.</w:t>
      </w:r>
    </w:p>
    <w:p>
      <w:r>
        <w:t>Questo concetto è stato ripreso sia in una sentenza 8C_569/2007 del 4 aprile 2008 al consid. 6.4 che in una sentenza 8C_212/2010 del 31 maggio 2010 al consid. 6.1.</w:t>
      </w:r>
    </w:p>
    <w:p>
      <w:r>
        <w:t>Nel primo caso si trattava di un assicurato che aveva inoltrato la domanda di prestazioni AI il 14 dicembre 2004, respinta con decisione del 29 gennaio 2007 a causa di un grado dinvalidità del 33%. Il 14 marzo 2006 aveva richiesto prestazioni dellassicurazione contro la disoccupazione affermando di essere completamente abile al lavoro. Dopo aver versato indennità sulla base di un guadagno assicurato di fr. 5'725, la Cassa disoccupazione dal febbraio 2007 ha ridotto limporto del guadagno assicurato a fr. 3'836 (67% di fr. 5'725), rinviando alla decisione dellUAI. Il TF ha confermato lagire della Cassa, ribadendo che linteressato non aveva alcun interesse, allepoca, a contestare il grado dinvalidità in ambito AI ed evidenziando che non vi fossero elementi per ritenere il calcolo dellUAI manifestamente errato (consid.6.4: Es ist dem Beschwerdeführer beizupflichten, dass es Konstellationen gibt, in welchen das Abstellen auf den im IV-Verfahren ermittelten Invaliditätsgrad problematisch ist und zu ungerechten Ergebnissen führen kann. Zu beachten ist unter den vorliegenden Umständen insbesondere, dass der Versicherte im IV-Verfahren grundsätzlich kein schutzwürdiges Interesse daran hatte, einen geringeren Invaliditätsgrad oder überhaupt eine fehlende Invalidität geltend zu machen. Allerdings ergeben sich entgegen den Einwänden in der Beschwerde keine konkreten Anhaltspunkte dafür, dass der Invaliditätsgrad von der Invalidenversicherungoffensichtlich unrichtigermittelt worden ist. Der Invaliditätsgrad wurde in der Verfügung der IV-Stelle vom 29. Januar 2007 auf Grund des Sachverhalts festgestellt, wie er sich bis zum Zeitpunkt des Verfügungserlasses entwickelt hat. Die berichtigende Verfügung der Arbeitslosenkasse vom 14. März 2007 und der Einspracheentscheid vom 15. März 2007 betreffen die Zeit ab 1. Februar 2007. Eine vorfrageweise Prüfung im arbeitslosenversicherungsrechtlichen Verfahren, ob sich die Erwerbsfähigkeit des Versicherten seit der rentenablehnenden Verfügung der IV-Stelle verbessert hat, erübrigt sich bei diesen Zeitverhältnissen; sottolineatura del redattore).</w:t>
      </w:r>
    </w:p>
    <w:p>
      <w:r>
        <w:t>Nella sentenza 8C_212/2010 del 31 maggio 2010 il TF ha deciso il caso di un assicurato che il 28 marzo 2008 ha inoltrato una domanda di prestazioni AI. Con progetto di decisione del 23 aprile 2009 lUAI ha negato la rendita a causa di un grado dinvalidità del 20%. La cassa disoccupazione alla quale linsorgente si era rivolto l8 luglio 2008, con decisione del 3 giugno 2009 ha ridotto del 20% con effetto dal 1° maggio 2009 il guadagno assicurato.</w:t>
      </w:r>
    </w:p>
    <w:p>
      <w:r>
        <w:t>Anche in questa fattispecie lAlta Corte ha rammentato che linsorgente non aveva un interesse, allepoca, per contestare il grado dinvalidità ed ha ritenuto anche in questo caso che non vi fossero elementi per ritenere manifestamente errato il calcolo del grado dinvalidità (Es ist dem Beschwerdeführer beizupflichten,dass es Konstellationen gibt, in welchen das Abstellen auf den im IV-Verfahren ermittelten Invaliditätsgrad problematisch ist und zu ungerechten Ergebnissen führen kann.Zu beachten ist unter den vorliegenden Umständen insbesondere, dass der Versicherte im IV-Verfahren grundsätzlich kein schutzwürdiges Interesse daran hatte, einen geringeren Invaliditätsgrad oder überhaupt eine fehlende Invalidität geltend zu machen. In casu vermögen allerdings die Vorbringen des Beschwerdeführers den Schluss der Vorinstanz, wonach keine konkreten Anhaltspunkte für eineoffensichtlich unrichtigeErmittlung des Invaliditätsgrades durch die IV-Stelle zu finden seien, nicht in Zweifel zu ziehen e Seine Argumentation, auch ältere Arbeitslose oder solche Personen, welche vormals durch Glück überdurchschnittlich gut verdient hätten, müssten bei einer Neuanstellung oft erhebliche Lohneinbussen in Kauf nehmen, weshalb konsequenterweise auch bei ihnen eine Kürzung der Taggelder erfolgen müsste, ist nicht stichhaltig, denn die vorliegend zur Debatte stehende Anpassung des versicherten Verdienstes im Sinne von Art. 40b AVIV ist lediglich bei Versicherten vorgesehen, welche unmittelbar vor oder während der Arbeitslosigkeit eine gesundheitsbedingte Beeinträchtigung der Erwerbsfähigkeit erleiden. Eine solche Einschränkung ergibt sich bei arbeitslosen Personen weder allein aus ihrem fortgeschrittenen Alter noch aus dem Umstand, dass sie den bei ihrem letzten Arbeitgeber erzielten, überdurchschnittlichen Verdienst vielleicht bei einer neuen Anstellung nicht mehr erreichen können. Schliesslich kann der Beschwerdeführer auch aus dem Hinweis, wonach insbesondere ungelernte, schwer arbeitende Arbeitslose, welche eines Gesundheitsschadens wegen ihre angestammte, körperlich schwere Tätigkeit nicht mehr verrichten könnten, aber in einer physisch leichten, wechselbelastenden Verweistätigkeit voll einsetzbar wären, durch die (möglichst frühzeitige) Anmeldung bei der Invalidenversicherung nur verlieren würden, nichts zu seinen Gunsten ableiten. Arbeitslose Personen müssen zur Schadenminderung grundsätzlich jede Beschäftigung unverzüglich annehmen (Art. 16 Abs. 1 AVIG). Erfahren die Behörden der Arbeitslosenversicherung zufolge einer unterlassenen Anmeldung bei der Invalidenversicherung erst später von einer anhaltenden Unzumutbarkeit gewisser Beschäftigungen oder von einer (teilweisen) Erwerbsunfähigkeit infolge gesundheitlicher Probleme, sind sie befugt und verpflichtet, im Rahmen einer prozessualen Revision auf die bereits ausgerichtete Arbeitslosenentschädigung zurückzukommen, den versicherten Verdienst rückwirkend zu berichtigen und zu Unrecht ausgerichtete Taggelder zurückzufordern, sobald das Ausmass der Erwerbsunfähigkeit feststeht (Art. 25 ATSG in Verbindung mit Art. 95 Abs. 1 sowie Abs. 1bis AVIG (BGE 133 V 530E. 4 S. 533 mit Hinweis; vgl. auchBGE 133 V 524)).</w:t>
      </w:r>
    </w:p>
    <w:p>
      <w:r>
        <w:t>2.6.   Nel caso di specie, al ricorrente è stato riconosciuto un grado dinvalidità del 37.56%.</w:t>
      </w:r>
    </w:p>
    <w:p>
      <w:r>
        <w:t>nel merito</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Tribunale federale con sentenzaU 156/05 del 14 luglio 2006, consid. 5).</w:t>
      </w:r>
    </w:p>
    <w:p>
      <w:r>
        <w:t>Vista la soccombenza dellUfficio AI, le spese di fr. 500 sono poste a suo carico.</w:t>
      </w:r>
    </w:p>
    <w:p>
      <w:r>
        <w:t>Per questi motivi</w:t>
      </w:r>
    </w:p>
    <w:p>
      <w:r>
        <w:t>dichiara e pronuncia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