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32.2020.97 vom 25. Juni 2020</w:t>
      </w:r>
    </w:p>
    <w:p>
      <w:r>
        <w:t>TI Tribunale d'appello, 2020-06-25, IT</w:t>
      </w:r>
    </w:p>
    <w:p>
      <w:r>
        <w:rPr>
          <w:b/>
        </w:rPr>
        <w:t xml:space="preserve">Quelle: </w:t>
      </w:r>
      <w:r>
        <w:t>https://mcp.opencaselaw.ch/entscheid/ti_gerichte_32.2020.97</w:t>
      </w:r>
    </w:p>
    <w:p>
      <w:r>
        <w:t>FR: TI_GERICHTE 32.2020.97 du 25 juin 2020</w:t>
      </w:r>
    </w:p>
    <w:p>
      <w:r>
        <w:t>IT: TI_GERICHTE 32.2020.97 del 25 giugno 2020</w:t>
      </w:r>
    </w:p>
    <w:p>
      <w:pPr>
        <w:pStyle w:val="Heading2"/>
      </w:pPr>
      <w:r>
        <w:t>Volltext</w:t>
      </w:r>
    </w:p>
    <w:p>
      <w:r>
        <w:t>Incarto n.32.2020.97</w:t>
      </w:r>
    </w:p>
    <w:p>
      <w:r>
        <w:t>FS</w:t>
      </w:r>
    </w:p>
    <w:p>
      <w:r>
        <w:t>Lugano</w:t>
      </w:r>
    </w:p>
    <w:p>
      <w:r>
        <w:t>14 ottobre 2020</w:t>
      </w:r>
    </w:p>
    <w:p>
      <w:r>
        <w:t>In nomedella Repubblica e CantoneTicino</w:t>
      </w:r>
    </w:p>
    <w:p>
      <w:r>
        <w:t>Il vicepresidente</w:t>
      </w:r>
    </w:p>
    <w:p>
      <w:r>
        <w:t>del Tribunale cantonale delle assicurazioni</w:t>
      </w:r>
    </w:p>
    <w:p>
      <w:r>
        <w:t>Giudice Raffaele Guffi</w:t>
      </w:r>
    </w:p>
    <w:p>
      <w:r>
        <w:t>con redattore:</w:t>
      </w:r>
    </w:p>
    <w:p>
      <w:r>
        <w:t>Francesco Storni, vicecancelliere</w:t>
      </w:r>
    </w:p>
    <w:p>
      <w:r>
        <w:t>segretario:</w:t>
      </w:r>
    </w:p>
    <w:p>
      <w:r>
        <w:t>Gianluca Menghetti</w:t>
      </w:r>
    </w:p>
    <w:p>
      <w:r>
        <w:t>statuendo sul ricorso del 27 agosto 2020 di</w:t>
      </w:r>
    </w:p>
    <w:p>
      <w:r>
        <w:t>RI 1</w:t>
      </w:r>
    </w:p>
    <w:p>
      <w:r>
        <w:t>contro</w:t>
      </w:r>
    </w:p>
    <w:p>
      <w:r>
        <w:t>la decisione del 25 giugno 2020 emanata da</w:t>
      </w:r>
    </w:p>
    <w:p>
      <w:r>
        <w:t>Ufficio assicurazione invalidità,6501 Bellinzona</w:t>
      </w:r>
    </w:p>
    <w:p>
      <w:r>
        <w:t>in materia di assicurazione federale per l'invalidità</w:t>
      </w:r>
    </w:p>
    <w:p>
      <w:r>
        <w:t>consideratoin fatto e in diritto</w:t>
      </w:r>
    </w:p>
    <w:p>
      <w:r>
        <w:t>che                              -   con due decisioni distinte del 25 giugno 2020, riconosciuti i seguenti periodi dincapacità lavorativa:</w:t>
      </w:r>
    </w:p>
    <w:p>
      <w:r>
        <w:t>100%     dal 20.12.2010</w:t>
      </w:r>
    </w:p>
    <w:p>
      <w:r>
        <w:t>70%       dal 06.06.2011</w:t>
      </w:r>
    </w:p>
    <w:p>
      <w:r>
        <w:t>50%       dal 20.06.2011</w:t>
      </w:r>
    </w:p>
    <w:p>
      <w:r>
        <w:t>0%          dal 01.09.2011</w:t>
      </w:r>
    </w:p>
    <w:p>
      <w:r>
        <w:t>100%     dal 26.11.2013</w:t>
      </w:r>
    </w:p>
    <w:p>
      <w:r>
        <w:t>50%       dal 01.08.2017</w:t>
      </w:r>
    </w:p>
    <w:p>
      <w:r>
        <w:t>e considerato, tra laltro, che() la signora RI 1 raggiunge il minor discapito in attività abituale (50%). Attività, quella di "collaboratrice ammnistrativa c/o segretariato generale/Relazioni pubbliche", ritenuta esigibile, nei limiti definiti in sede medica, anche dalla consulente in reintegrazione professionale nel suo rapporto del 25 giugno 2018. Ricordiamo inoltre come tutta la documentazione sopra citata sia già in suo possesso, a seguito dell'invio datato 10 luglio 2019. Allo stato attuale non è stato inoltre prodotto alcun tipo di ulteriore documentazione medica. Non vi è quindi motivo di distanziarsi dalla valutazione del Servizio Medico Regionale (SMR) datata 30 ottobre 2018. La stessa valutazione dell'SMR, in assenza di patologie extra-infortunistiche, si basa sulla documentazione LAINF in nostro possesso. ()(doc. B), lUfficio AI ha riconosciuto a RI 1 il diritto ad una rendita intera dal 1. novembre 2014 al 31 ottobre 2017 e ad una mezza rendita dal 1. novembre 2017 (doc. B);</w:t>
      </w:r>
    </w:p>
    <w:p>
      <w:r>
        <w:t>-   contro la decisione che riconosce il diritto alla mezza rendita dal 1. novembre 2017 saggrava al TCA lassicurata patrocinata dallo studio legale avv. RA 1. Contestando la valutazione medica secondo la quale dal 1. agosto 2017 sarebbe abile al lavoro nella misura del 50% tanto nella sua attività abituale quanto in unaltra attività adeguata, postula lattri-buzione di una rendita intera anche dopo il 31 ottobre 2017, subordinatamente il rinvio degli atti allamministrazione per ulteriori accertamenti medici;</w:t>
      </w:r>
    </w:p>
    <w:p>
      <w:r>
        <w:t>-   con la risposta di causa lamministrazioneosservato che con il ricorso lassicurata ha prodotto i rapporti 27 luglio 2020 del Servizio psico-sociale di __________ (doc. C) e 30 luglio 2020 del dr. __________ (doc. D) e che il medico SMR dr. __________, a cui è stata nuovamente sottoposta lintera documentazione medica componente il dossier, nellannotazione 3 settembre 2020, ha concluso che() alla luce della nuova documentazione medica presentata dall'assicurata in sede di ricorso, considerato anche il lungo tempo trascorso dall'ultimo esame psichiatrico effettuato dalla dr.ssa med. __________ il 28.09.2016, è opportuno procedere mediante una nuova perizia psichiatrica (comprendente anche dei test neuropsicologici) al fine di stabilire con precisione la residua capacità lavorativa dell'assicurata nel corso del tempo (segnatamente per il lasso di tempo posteriore al mese di ottobre 2017). ()(VI/1)postula la retrocessione degli atti al fine di effettuare i necessari accertamenti medici (VI);</w:t>
      </w:r>
    </w:p>
    <w:p>
      <w:r>
        <w:t>-   con scritto 2 ottobre 2020 linsorgente ha comunicato al TCA di aderire alla proposta dellUfficio AI precisando, tramite il proprio rappresentante, che() a scanso di equivoci, ritenuto che la mia mandante ha impugnato unicamente la decisione dell'UAI con la quale è stato riconosciuto un grado AI pari al 50% a far tempo dal 1. novembre 2017, e non quella con la quale era stato deciso un grado AI pari al 100% a far tempo dal 1. novembre 2014 al 31 ottobre 2017 - ormai cresciuta in giudicato -; ben si comprende che la perizia, come pure la nuova decisione dell'UAI, dovrà riguardare unicamente la situazione dal 1. novembre 2017 in avanti. Per quanto sopra, si postula di conseguenza che alla mia mandante vengano riconosciute congrue ripetibili come dalla nota onorari e spese allegata alle presenti osservazioni, considerata l'acquiescenza dell'UAI e il fatto che la signora RI 1 ha dovuto inoltrare un ricorso - per il tramite del sottoscritto legale - per ottenere quanto avrebbe già dovuto decidere l'UAI senza l'avvio della presente procedura. ()(VI).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giusta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1b).Una semplice valutazione diversa delle circostanze di fatto, che sono rimaste sostanzialmente invariate, non giustifica comunque una revisione ai sensi dellart. 17 LPGA (DTF 112 V 372 consid. 2b e 390 consid. 1b; vedi ancheSTFA I 8/04 del 12 ottobre 2005 pubblicata in Plaidoyer 1/06, pag. 64).Se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w:t>
      </w:r>
    </w:p>
    <w:p>
      <w:r>
        <w:t>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w:t>
      </w:r>
    </w:p>
    <w:p>
      <w:r>
        <w:t>-   nellevenienza concreta, come sostenuto dalla ricorrente e come indicato in risposta di causa, alla luce degli atti medici allinserto ed in particolare sulla scorta della refertazione prodotta col gravame(rapporto 27 luglio 2020 con il quale il direttore __________ dr. __________ e il medico assistente dr.ssa __________, entrambi del Servizio psico-sociale di __________, attestano che, durante il periodo in cui è stata seguita (dal 9 dicembre 2019 al 1. luglio 2020),() alla luce del quadro clinico valutato nel corso del periodo sopracitato, riteniamo che ella non sia in grado di compiere alcuna attività lavorativa, anche a tempo parziale. ()[doc. C] e rapporto 30 luglio 2017 del Centro __________ di __________ nel quale il dr. __________, FMH in medicina interna generale, si è così espresso:()da un paio danni conosco la paziente e posso indubbiamente attestare che ella presenta disturbi importanti al capo con dolenzia recidivante, disturbi e sofferenza al sovraccarico di prestazioni o svolgimento di compiti anche di routine quotidiana, disturbi depressivi secondari allinfortunio con sintomatologia talvolta ansiosa, disturbi neurocognitivi di memoria, attenzione, concentrazione.In questo complesso quadro reattivo all'infortunio in questione, ritengo che la paziente abbia chiaramente diritto a una rivalutazione completa del suo grado di incapacità lavorativa e la possibilità di beneficiare di una rendita, in quanto non in grado di gestire autonomamente tutta la sua vita quotidiana. Propongo a tal fine una presa in carico multidisciplinare per una rivalutazione completa di questo caso, particolarmente meritevole di attenzione.()[doc. D])vi è effettivamente da ritenere che, al fine di stabilire con precisione la residua capacità lavorativa e di riflesso al guadagno dell'assicurata nel corso del tempo (segnatamente per il lasso di tempo posteriore al mese di ottobre 2017), la situazione medica va ulteriormente indagata;</w:t>
      </w:r>
    </w:p>
    <w:p>
      <w:r>
        <w:t>-inSTF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considerato come gli accertamenti eseguiti dallamministrazione paiono incompleti, si giustifica ilrinvio degli atti ad essaaffinché, come rettamente indicato nella risposta,() dopo aver completato listruttoria, facendo esperire i necessari ulteriori accertamenti medici (come menzionato in precedenza), e rivalutato il caso sulla base delle relative risultanze (anche per quanto attiene allaspetto economico), emanerà una nuova decisione formale (preceduta dal relativo preavviso ex art. 57a LAI), garantendo di conseguenza allassicurata tutti i suoi diritti di difesa. ()(IV, pag. 2);</w:t>
      </w:r>
    </w:p>
    <w:p>
      <w:r>
        <w:t>-   la ricorrente, patrocinata dallo studio legale avv. RA 1, vittoriosa in causa ha diritto a unindennità per ripetibili (art. 61 lett. g LPGA e art. 30 cpv. 1 Lptca);</w:t>
      </w:r>
    </w:p>
    <w:p>
      <w:r>
        <w:t>-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w:t>
      </w:r>
    </w:p>
    <w:p>
      <w:r>
        <w:t>-   con scritto del 2 ottobre 2020 (VIII) lavv. RA 1 ha prodotto laNOTA ONORARI E SPESE(tariffa oraria di fr. 300.--) per un importo complessivo (senza IVA) di fr. 5'109.50 (4'644.-- onorario + 465.50 spese, cfr. VI/1);</w:t>
      </w:r>
    </w:p>
    <w:p>
      <w:r>
        <w:t>-   dagli atti risulta che il patrocinatore dellassicurata ha steso un atto ricorsuale di 24 pagine (I), uno scritto di poco più di una pagina per comunicare al TCA di aderire alla proposta formulata dallUfficio AI e che nellaNOTA ONORARI E SPESE(VI/1) ha conteggiato un tempo di lavoro di complessive 15.48 ore;</w:t>
      </w:r>
    </w:p>
    <w:p>
      <w:r>
        <w:t>-   in merito alle ore di patrocinio va ricordato che nella STF I 50/01 del 26 ottobre 2001 la Corte federale ha stabilito che per trattare una vertenza relativa alla revisione di una rendita AI (aumento del grado d'invalidità) 6 o 7 ore di lavoro sono troppo poche, mentre 12,5 potrebbero essere troppe;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del __________ e dove non è stata indetta alcuna udienza, questo Tribunale ha ridotto da 20 ore e trenta minuti a 10 ore il tempo lavorativo del legale che si è occupato della causa;</w:t>
      </w:r>
    </w:p>
    <w:p>
      <w:r>
        <w:t>-   nel caso concreto, ritenuta la non complessità della causa, stante il principio indagatorio vigente nel diritto delle assicurazioni sociali che allevia il lavoro del patrocinatore (DTF 114 V 87 consid. 4b, 110 V 365 consid. 3c) e considerato il tempo   effettivamente necessario ad un legale mediamente diligente per lo svolgimento del mandato di patrocinio quale quello in disamina (va rilevato che il patrocinatore ha potuto usufruire del lavoro già svolto in sede amministrativa così come di quello svolto in ambito infortunistico), appare in concreto giustificato riconoscere ripetibili (per onorario fr. 2'520.-- e spese fr. 252.-) di complessivi fr. 2'985.45 (IVA inclusa);</w:t>
      </w:r>
    </w:p>
    <w:p>
      <w:r>
        <w:t>-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500 sono poste a carico dell'Ufficio AI;</w:t>
      </w:r>
    </w:p>
    <w:p>
      <w:r>
        <w:t>Per questi motivi</w:t>
      </w:r>
    </w:p>
    <w:p>
      <w:r>
        <w:t>dichiara e pronuncia</w:t>
      </w:r>
    </w:p>
    <w:p>
      <w:r>
        <w:t>1.   Il ricorso èaccolto.</w:t>
      </w:r>
    </w:p>
    <w:p>
      <w:r>
        <w:t>§    La decisione impugnata del 25 giugno 2020 è annullata.</w:t>
      </w:r>
    </w:p>
    <w:p>
      <w:r>
        <w:t>§§ Gli atti sono rinviati allUfficio AI affinché proceda conformemente ai considerandi.</w:t>
      </w:r>
    </w:p>
    <w:p>
      <w:r>
        <w:t>2.   Le spese per complessivi fr. 500 sono poste a carico dellUfficio AI.</w:t>
      </w:r>
    </w:p>
    <w:p>
      <w:r>
        <w:t>LUfficio AI verserà alla ricorrente fr. 2'985.45 a titolo di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w:t>
      </w:r>
    </w:p>
    <w:p>
      <w:r>
        <w:t>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