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32.2020.71 vom 18. Mai 2020</w:t>
      </w:r>
    </w:p>
    <w:p>
      <w:r>
        <w:t>TI Tribunale d'appello, 2020-05-18, IT</w:t>
      </w:r>
    </w:p>
    <w:p>
      <w:r>
        <w:rPr>
          <w:b/>
        </w:rPr>
        <w:t xml:space="preserve">Quelle: </w:t>
      </w:r>
      <w:r>
        <w:t>https://mcp.opencaselaw.ch/entscheid/ti_gerichte_32.2020.71</w:t>
      </w:r>
    </w:p>
    <w:p>
      <w:r>
        <w:t>FR: TI_GERICHTE 32.2020.71 du 18 mai 2020</w:t>
      </w:r>
    </w:p>
    <w:p>
      <w:r>
        <w:t>IT: TI_GERICHTE 32.2020.71 del 18 maggio 2020</w:t>
      </w:r>
    </w:p>
    <w:p>
      <w:pPr>
        <w:pStyle w:val="Heading2"/>
      </w:pPr>
      <w:r>
        <w:t>Erwägungen</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2.4.Al fine di accertare lo stato di salute dellassicurato, lamministrazione ha chiesto una valutazione al proprio SMR.</w:t>
      </w:r>
    </w:p>
    <w:p>
      <w:r>
        <w:t>Nel rapporto finale del l11 novembre 2019 il medico del SMR dr. med. __________,specialista medico generico FMH,poste le diagnosi con ripercussioni sulla capacità lavorativa di 1. esiti di quadruplice bypass coronarico in CEC mediante limpianto della. mammaria sinistra (Lima) sulla discendente anteriore (RIVA), di un segmento di vena sequenziale su ramo Secondo Marginale Ottuso (MO2) e Interventricolare posteriore (RIVP) e della. mammaria destra (RIMA  graft libero) sul ramo Primo Marginale Ottuso (MO1) ad Y sul graft venoso il 17.04.2019 su/con: disfunzione ventricolare sistolica lieve (FE biplanare 51%); IMA antero-settale subacuto il 14.04.2019; 2. esiti di posa di stent elettivo in data 16.08.2019 su/con: stenosi asintomatica e severa in arteria carotide comune destra (RCCA), ha considerato lassicurato definitivamente inabile al lavoro al 100% a partire dal 14 aprile 2019 nellattività abituale di operaio di forgia.</w:t>
      </w:r>
    </w:p>
    <w:p>
      <w:r>
        <w:t>Quanto alla possibilità per linteressato di svolgere altre attività adeguate, rispettose delle sue limitazioni funzionali, il dr. __________ del SMR ha posto una totale inabilità lavorativa dal 14 aprile 2019 al 30 settembre 2019, mentre a partire dal 1° ottobre 2019 lassicurato è stato giudicato abile al lavoro al 100% (doc. 89).</w:t>
      </w:r>
    </w:p>
    <w:p>
      <w:r>
        <w:t>Ricevuta notizia di un ricovero presso la Clinica __________ di __________, lUfficio AI ha chiesto alla curante dellinteressato di trasmettere la relativa documentazione, oltre al referto della visita eseguita presso il dr. __________ dell__________ di __________ (doc. 93).</w:t>
      </w:r>
    </w:p>
    <w:p>
      <w:r>
        <w:t>La documentazione richiesta (cfr. doc. 94) è poi stata sottoposta al vaglio del SMR (cfr. doc. 95), al fine di verificare se la stessa fosse in grado di apportare delle modifiche al rapporto SMR dell11 novembre 2019.</w:t>
      </w:r>
    </w:p>
    <w:p>
      <w:r>
        <w:t>Una tale eventualità è stata esclusa dal dr. __________ del SMR, il quale, con annotazione del 19 febbraio 2020, si è così espresso:</w:t>
      </w:r>
    </w:p>
    <w:p>
      <w:r>
        <w:t>2.5.   In sede ricorsuale, lassicurato ha contestato il rifiuto dellamministrazione di concedergli il diritto a prestazioni, producendo, a comprova della sua totale inabilità lavorativa, un referto del 30 marzo 2020 della sua curante, dr.ssa __________, spec. FMH in medicina interna e oncologia, del seguente tenore: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2.7.Questo Tribunale, chiamato ad esprimersi a proposito della correttezza della valutazione medica posta a fondamento della decisione impugnata  con riferimento a quanto stabilito nel rapporto finale SMR dell11 novembre 2019 dal dr. __________, successivamente confermato dallo stesso medico del SMR con annotazioni del 19 febbraio 2020 e del 10 agosto 2020 - non può condividerne le conclusioni, per le ragioni qui di seguito esposte.</w:t>
      </w:r>
    </w:p>
    <w:p>
      <w:r>
        <w:t>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 2.7., ci troviamo di fronte ad un accertamento dei fatti lacunoso, si giustifica il rinvio degli atti allamministrazione affinché metta in atto gli accertamenti specialistici necessari al fine di chiarire quale sia lo stato di salute dellinteressato e le ripercussioni dello stesso sulla sua capacità lavorativa.</w:t>
      </w:r>
    </w:p>
    <w:p>
      <w:r>
        <w:t>2.9.   Secondo gli art. 29 cpv. 2 Lptca e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t>2.10.Lassicurato ha chiesto di essere posto al beneficiodellassistenza giudiziaria con gratuito patrocinio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