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32.2020.59 vom 6. April 2020</w:t>
      </w:r>
    </w:p>
    <w:p>
      <w:r>
        <w:t>TI Tribunale d'appello, 2020-04-06, IT</w:t>
      </w:r>
    </w:p>
    <w:p>
      <w:r>
        <w:rPr>
          <w:b/>
        </w:rPr>
        <w:t xml:space="preserve">Quelle: </w:t>
      </w:r>
      <w:r>
        <w:t>https://mcp.opencaselaw.ch/entscheid/ti_gerichte_32.2020.59</w:t>
      </w:r>
    </w:p>
    <w:p>
      <w:r>
        <w:t>FR: TI_GERICHTE 32.2020.59 du 6 avril 2020</w:t>
      </w:r>
    </w:p>
    <w:p>
      <w:r>
        <w:t>IT: TI_GERICHTE 32.2020.59 del 6 aprile 2020</w:t>
      </w:r>
    </w:p>
    <w:p>
      <w:pPr>
        <w:pStyle w:val="Heading2"/>
      </w:pPr>
      <w:r>
        <w:t>Regeste</w:t>
      </w:r>
    </w:p>
    <w:p>
      <w:r>
        <w:t>Violazione del diritto di essere sentito non sanabile. L'Ufficio AI non volendo per ragioni mediche trasmettere all'assicurata il proprio dossier, avrebbe dovuto esigere dall'interessata la designazione di un medico per la consultazione degli atti e non emettere una decisione di rifiuto rendita</w:t>
      </w:r>
    </w:p>
    <w:p>
      <w:pPr>
        <w:pStyle w:val="Heading2"/>
      </w:pPr>
      <w:r>
        <w:t>Erwägungen</w:t>
      </w:r>
    </w:p>
    <w:p>
      <w:r>
        <w:rPr>
          <w:b/>
        </w:rPr>
        <w:t>E. 30</w:t>
      </w:r>
    </w:p>
    <w:p>
      <w:r>
        <w:t>gennaio 2020 in doc. 215 inc. AI) oppure se, come da richiesta dell’assicurata, la rendita intera dev’essere riconosciuta dal mese di dicembre 2013. 2.3.   In primo luogo nel ricorso l’assicurata stigmatizza di non aver ricevuto il suo dossier, chiedendosi il motivo per cui solo nel 2020 le viene riconosciuta un’invalidità che “ sto dichiarando dal 4 dicembre 2013” . Occorre pertanto verificare se da parte dell’Ufficio AI vi è stata una violazione del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 quello di partecipare all'assunzione delle prove, di prenderne conoscenza e di determinarsi al riguardo (sentenza 9C_903/2011 del 25 gennaio 2013;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(cfr. DTF 141 IV 249; sentenza 6B_966/2014 del 6 marzo 2017, consid. 2; STF del 24 gennaio 2007, U 397/05, con riferimenti; DTF 129 I 232 consid. 3.2). Nella STF 8C_559/2018 del 26 novembre 2018 (consid. 4.4.2) l’Alta Corte ha riassunto i motivi per sanare una violazione del diritto di essere sentito: " 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142 II 218 consid. 2.8.1 pag. 226; 133 I 201 consid. 2.2 pag. 204 seg.; sentenza 8C_842/2016 del 18 maggio 2017 consid. 3.1 con riferimenti). Giova comunque ricordare che il principio di celerità (art. 52 cpv. 2 e 61 lett. a LPGA), caposaldo della procedura delle assicurazioni sociali, non ha una portata così forte da mettere però in secondo piano il diritto di essere sentito e l'obbligo di chiarire i fatti con la necessaria diligenza (cfr. sentenze 8C_433/2018 del 14 agosto 2018 consid. 5.1 e 8C_210/2013 del 10 luglio 2013 consid. 3.2.1 con riferimenti).” Ritornando al caso in esame, va rilevato che nelle osservazioni 28 febbraio 2020 al progetto di decisione 3 febbraio 2020 l’assicurata, sostenendo di essere inabile al 100% dal 3 dicembre 2013, ha segnatamente scritto che “ quello che invece voglio, esigo e pretendo per l’ennesima volta, oltre alla rendita intera, è la copia del mio dossier completo. Continuare a negarmi la visione dei miei incarti, che oltretutto concedete a terzi. Aventi, e non aventi diritto… ” (pag. 1102 inc. AI). In merito al mancato invio degli atti, in sede di risposta di causa l’Ufficio AI ha espresso le seguenti considerazioni: " Il Dr. __________ de SMR nel suo rapporto del 30.01.2020 ha indicato che “Per ragioni mediche, si sconsiglia di inviare il dossier direttamente all’assicurato/a ”. L’UAI non ha quindi ritenuto di dover inviare l’incarto completo alla signora RI 1, nemmeno all’indirizzo presso l’Avv. __________, in quanto egli non risulta essere il suo rappresentante legale bensì si presta unicamente a ricevere presso il suo ufficio la corrispondenza indirizzata all’assicurata. L’UAI ha inoltre contattato l’Autorità regionale di protezione ma quest’ultima non ha ritenuto di dover intervenire (v. doc. 223 e 234 incarto AI). Infine, l’assicurata non ha fornito alcun nominativo quale medico curante che potesse fare da tramite per l’invio dell’incarto, pertanto non si è potuto procedere nemmeno in tal senso. In ogni caso, va rilevato che l’incarto viene ora prodotto nella sua integralità a codesto lodevole Tribunale, presso il quale la ricorrente può prendere visione.” Ora, come ricordato sopra, il diritto di essere sentito include fra l’altro il diritto di consultazione degli atti, in ambito amministrativo sancito dall’art. 47 LPGA (cfr. anche Kieser, ATSG - Kommentar, 2020, art. 42 n. 42, pag. 748) L’art. 47 cpv. 1 LPGA sulla consultazione degli atti prevede che purché siano tutelati interessi privati preponderanti, hanno diritto di consultare gli atti: a. l'assicurato per i dati che lo riguardano; b. le parti per i dati di cui necessitano per tutelare un diritto o adempiere un obbligo conformemente a una legge d'assicurazione sociale oppure per far valere un rimedio giuridico contro una decisione emanata in base alla stessa legge; c. le autorità competenti per i ricorsi contro decisioni emanate in base a una legge d'assicurazione sociale, per i dati necessari per adempiere tale compito; d. la persona responsabile e il suo assicuratore per i dati di cui necessitano per valutare un regresso dell'assicurazione sociale (sottolineatura del redattore). Nel caso di dati riguardanti la salute, la cui comunicazione potrebbe ripercuotersi sfavorevolmente sulla salute della persona autorizzata a consultare gli atti, si può esigere che essa designi un medico, incaricato di comunicarle questi dati (cpv. 2). In concreto va rilevato che nonostante l’espressa richiesta dell’assicurata formulata in sede di osservazioni 28 febbraio 2020 al progetto di decisione 3 febbraio 2020 d’invio del suo dossier, l’Ufficio AI non ha dato alcun riscontro senza fornire una spiegazione. Infatti, nella sezione “osservazioni al progetto” della decisione qui impugnata non vi è alcun riferimento al riguardo. Va ricordato che il diritto di consultazione è di natura formale, motivo per cui in caso di una violazione di tale diritto la decisione dev’essere annullata, indipendentemente dalle prospettive di successo del ricorso (Kieser, op. cit., art. 47 n. 8 pag. 863). Trattandosi di una violazione grave del diritto di essere sentito durante la procedura amministrativa, la stessa non è sanabile [“Jedenfalls ist eine Heilung ausgeschlossen, wenn im Verwaltungsverfahren die Gehörsgewährung überhaupt unterblieben ist und mithin di entsprechenden Vorschriften zu blossen Ordungsvorschriften degradiert wurden (vg. SVR 2000 AHV Nr.)] ”; Kieser, op. cit., 42 n. 15 pag. 742). Nella fattispecie in esame, solo con la risposta di causa l’amministrazione ha motivato il mancato invio del dossier facendo riferimento al rapporto del 30.01.2020 dello psichiatra SMR in cui ha crociato la casella con la seguente dicitura: “ Per ragioni mediche, si sconsiglia di inviare il dossier direttamente all’assicurata” (pag. 1102 inc. AI). Come stabilito dall’art. 47 cpv. 2 LPGA, l’amministrazione avrebbe dovuto esigere dall’assicurata la designazione di un medico incaricato per comunicargli i dati medici sensibili, procedura che l’Ufficio AI ha seguito in una fattispecie giudicata da questa Corte (cfr. STCA 32.2020.54 del 22 ottobre 2020 consid. 1.16) ma non nella presente evenienza. Tale necessità risultava accresciuta, ritenuto che la ricorrente non aveva designato alcun rappresentante e tantomeno l’ARP non aveva ritenuto d’intervenire. Vero che nel questionario relativo alla revisione della rendita, firmato il 4 ottobre 2019, l’assicurata non aveva indicato il nominativo del medico curante (pag. 1004 inc. AI). Tuttavia dagli atti non risulta che l’Ufficio AI l’abbia sollecitata, non avendo del resto il medico del SMR ritenuto necessario contattare il medico curante essendo la documentazione agli atti esaustiva (cfr. il citato rapporto 30 gennaio 2010, pag. 1041 inc. AI). Visto quanto sopra, annullata la decisione contestata, gli atti sono rinviati all’Ufficio AI affinché proceda conformemente all’art. 47 cpv. 2 LPGA nel senso sopra indicato. Non spetta ora al TCA chinarsi sulle diverse censure sollevate dall’assicurata. Ne consegue che il ricorso va accolto. 2.4 Giusta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di procedura di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