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32.2020.55 vom 10. März 2020</w:t>
      </w:r>
    </w:p>
    <w:p>
      <w:r>
        <w:t>TI Tribunale d'appello, 2020-03-10, IT</w:t>
      </w:r>
    </w:p>
    <w:p>
      <w:r>
        <w:rPr>
          <w:b/>
        </w:rPr>
        <w:t xml:space="preserve">Quelle: </w:t>
      </w:r>
      <w:r>
        <w:t>https://mcp.opencaselaw.ch/entscheid/ti_gerichte_32.2020.55</w:t>
      </w:r>
    </w:p>
    <w:p>
      <w:r>
        <w:t>FR: TI_GERICHTE 32.2020.55 du 10 mars 2020</w:t>
      </w:r>
    </w:p>
    <w:p>
      <w:r>
        <w:t>IT: TI_GERICHTE 32.2020.55 del 10 marzo 2020</w:t>
      </w:r>
    </w:p>
    <w:p>
      <w:pPr>
        <w:pStyle w:val="Heading2"/>
      </w:pPr>
      <w:r>
        <w:t>Erwägungen</w:t>
      </w:r>
    </w:p>
    <w:p>
      <w:r>
        <w:rPr>
          <w:b/>
        </w:rPr>
        <w:t>E. 19</w:t>
      </w:r>
    </w:p>
    <w:p>
      <w:r>
        <w:t>maggio 2020 (doc. V/1), ma nemmeno l’ulteriore certificazione della dr.ssa __________ del __________ del 19 giugno 2020, nella quale la curante, dopo aver sottolineato “ la presa a carico intensiva multidisciplinare del paziente da parte medica, infermieristica, assistente sociale e da un servizio infermieristico domiciliare nel fine settimana ”, e confermato la diagnosi di “ Modificazione duratura della personalità dopo un'esperienza catastrofica (ICD 10 F 62.0), costellata nel tempo da diversi episodi depressivi anche gravi con necessità di ospedalizzazioni anche prolungate ”, ha osservato quanto segue: " Come ben noto dalla moderna letteratura sul trauma complesso (decesso del padre quando il paziente aveva 7 anni, istituzionalizzazione, precarietà esistenziale e vita di strada per 20 anni, difficoltà di rapporti con la madre e la famiglia di origine, divorzio, decesso della prima moglie, violenza sessuale subita da una delle figlie, lontananza dalla famiglia di origine, Sindrome di Wolff-Parkinson-White in anamnesi positiva per morte improvvisa, etc...) il paziente ha un funzionamento multiplo in senso stretto per cui i racconti e la sintomatologia riportata e osservata sono spesso incoerenti e instabili. Infatti il ricordo traumatico immagazzinato in maniera disfunzionale non è solo un ricordo ma può essere richiamato come riesperienza negativa, inaccurata e intensa di elementi dell'evento come se stesse accadendo "proprio ora" e distorce anche la percezione di eventi e stimoli anche nel presente e distorce la previsione del futuro. (…) Anche se, come affermato dal perito psichiatra Dr. med __________, molte delle difficoltà psicologiche del sig. RI 1 erano presenti prima dell'arrivo in Ticino e inizialmente il funzionamento lavorativo era buono, appare altrettanto chiaro come nel tempo ci possa essere un progressivo peggioramento psicopatologico con conseguente ricaduta sul funzionamento socio-relazionale.” (doc. IX/1) Ora, come osservato dal dr. __________ nella sua presa di posizione del 1. luglio 2020, tale certificazione non fa in sostanza che ribadire la modalità di presa a carico del paziente, confermando la nota diagnosi, esaurendosi tuttavia essenzialmente in una diversa valutazione della capacità lavorativa. In merito il perito ha sottolineato nuovamente come malgrado tale diagnosi, in passato il peritando avesse lavorato con continuità, ritenuto come l’aggravamento psichico sarebbe subentrato “ in un periodo in cui sembrano aver pesato maggiormente dei fattori sociali, piuttosto che traumatic i”, come del resto ben illustrato nella perizia del 14 novembre 2019. Ribadita “ la grave incoerenza tra quanto è stato appurato dall'AI rispetto alla vita sociale del soggetto e quanto è stato invece dichiarato e ribadito dall'assicurato, dopo che aveva perfettamente capito quello che il perito gli stava chiedendo e non presentava uno stato dissociativo ”, sostanziata anche dagli  indici di simulazione che sono risultati tutti alterati e dalla segnalazione fatta all'AI da una donna, secondo il perito permaneva “ la divergenza inconciliabile tra la valutazione funzionale del __________ (che parlava acriticamente di trascuratezza e grave isolamento sociale del soggetto) e quella del perito, che ha tenuto conto delle risorse che sono manifeste e documentate. Infine, non posso fare a meno di notare che la certificazione __________ , come ho dimostrato negli scambi precedenti, sembra a tratti sbilanciata verso la difesa del paziente, come mi sembrano dimostrare alcune incongruenze nell'atteggiamento assunto dai curanti e nelle dichiarazioni che hanno via via rilasciato durante l'iter peritale” (doc. IX/1). Tali osservazioni puntuali e complete, ribadite dal perito in data 20 agosto 2020 (doc. XIII/1), dopo aver preso visione dell’ulteriore scritto della dr.ssa __________ del __________ del</w:t>
      </w:r>
    </w:p>
    <w:p>
      <w:r>
        <w:rPr>
          <w:b/>
        </w:rPr>
        <w:t>E. 20</w:t>
      </w:r>
    </w:p>
    <w:p>
      <w:r>
        <w:t>marzo 2012 consid. 4.5 e 9C_9/2010 del 29 settembre 2010 consid. 3.4, entrambe con i rinvii alla giurisprudenza ivi menzionati;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Nella fattispecie, come detto, la documentazione prodotta dal ricorrente e le differenti conclusioni dei curanti del __________ non consentono di dipartirsi dalle conclusioni del dr. __________, che si è espresso in modo coerente e privo di contraddizioni. Sia peraltro osservato che la perizia del dr. __________ non ha omesso di approfondire la severità e la persistenza dei disturbi psichiatrici, non tralasciando di precisare anche i motivi per i quali occorreva tuttavia scostarsi dalla valutazione dei curanti. In sostanza quindi le certificazioni delle dr.sse __________ e __________ non permettono di distanziarsi dalle conclusioni peritali, non apportando nuovi elementi oggettivi ignorati dal perito psichiatra e vanno quindi intese nel senso di una diversa valutazione della medesima situazione. Né del resto il ricorrente ha preteso, e men che meno comprovato, l’esistenza di problematiche somatiche (segnatamente cardiologiche) idonee ad influire sulla capacità lavorativa in maniera rilevante. Occorre quindi concludere che l’assicurato non ha prodotto documentazione rilevante o fornito elementi che consentano in qualche modo a questo Tribunale di considerare inattendibili le conclusioni del dr. __________ e del SMR e, quindi, dell’Ufficio AI, dalle cui conclusioni in merito alla capacità lavorativa della decisione contestata non è quindi possibile dipartirsi. Né del resto l’assicurato ha prodotto documentazione attestante un danno alla salute d’entità maggiore, la presenza di altre patologie invalidanti o un peggioramento successivo alla perizia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Giova qui comunque rilevare che l’UAI ha incaricato il dr. __________ in conformità a quanto previsto dall’art. 44 LPGA. Difatti il 28 maggio 2019 (doc. AI pag. 216) l’amministrazione ha comunicato all’assicurato che, per chiarire il suo diritto alle prestazioni, riteneva necessario sottoporlo ad un esame medico psichiatrico e che era stato designato il dr. __________, specialista FMH in psichiatria e psicoterapia. Nella medesima occasione l’UAI ha trasmesso all’assicurato pure le domande poste al medico, informandolo che poteva inoltrare domande supplementari da porre al medico entro il 17 giugno 2019. Sub “ Indicazione ”, l’amministrazione ha pure puntualizzato che “ Obiezioni fondate contro il tipo di accertamento, il tipo di disciplina così come eventualmente contro il nome del perito prescelto possono essere inoltrare per iscritto all’Ufficio AI il 17 giugno 2019. ” I precitati termini sono scaduti infruttuosi. Quanto al valore probatorio delle perizie esterne, sotto il profilo dell'indipendenza, dell'equità del processo e della parità delle armi - oltre a rinviare alla STF 8C_535/2007 del 25 aprile 2008 citata al consid. 2.5 - va qui osservato che l’assicurato (come visto, preventivamente reso attento circa il nome del perito e segnatamente la necessità di una perizia monodisciplinare con accertamento di psichiatria a cura del dr. __________) non ha sollevato alcuna obiezione in merito nel termine assegnatogli, né ne ha chiesto la ricusa, né ha domandato di essere esaminato da altri medici. Questa Corte ritiene pertanto che lo stato di salute dell’assicurato sia stato approfonditamente vagliato dall’UAI, segnatamente dal perito psichiatra, prima dell'emanazione della decisione qui impugnata (in concreto: il 10 marzo 2020) data che, come detto, segna il limite temporale del potere cognitivo del giudice delle assicurazioni sociali (DTF 132 V 215 consid. 3.1.1 e riferimenti ). Del resto val la pena di nuovamente ribadire che le conclusioni del dr. __________ sono stata avallate integralmente anche dal SMR.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siffatte circostanze le censure ricorsuali riguardo alla perizia psichiatrica del dr. __________ devono essere respinte. In conclusione, rispecchiando la valutazione del perito e del SMR, unitamente alla documentazione agli atti, tutti i criteri di affidabilità e completezza richiesti dalla giurisprudenza (cfr. consid. 2.3. e 2.4), richiamato pure l'obbligo che incombe all'assicurato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139 V 218 consid. 5.3, 138 V 218 consid. 6 pag. 221, 125 V 195 consid. 2 e riferimenti, 115 V 142 consid. 8b) che al ricorrente va riconosciuta un’incapacità lavorativa del 100% unicamente nei periodi di degenza presso la Clinica __________, ovvero dal 2 agosto 2017 al 24 gennaio 2018, dal 31 maggio al 5 giugno 2018, dal 2 al 21 novembre 2018, mentre che nei restanti periodi e comunque dal 22 novembre 2018 egli è da considerare abile in misura completa in ogni attività. Alla luce delle risultanze di cui sopra, questo Tribunale ritiene che la refertazione medica agli atti contiene quindi elementi chiari e sufficienti per valutare l'incapacità al guadagno dell'assicurato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il ricorrente non abbia apportato indizi concreti atti a minare l’affidabilità della perizia fata eseguire dall’amministrazione, la richiesta del ricorrente di essere fatto oggetto di un nuovo accertamento peritale psichiatrico, segnatamente nella forma di una perizia giudiziaria, va disattesa. Per gli stessi motivi non vi è motivo di rinviare gli atti all’amministrazione per accertamenti ulteriori. Visto quanto sopra, non presentando l’assicurato, fatti salvi i citati limitati periodi dal 2 agosto 2017 al 24 gennaio 2018, dal 31 maggio al 5 giugno 2018, dal 2 al 21 novembre 2018 - e quindi di durata inferiore al periodo minimo di un anno giusta l’art. 28 LAI (cfr. al consid. 2.2) -, un’inabilità lavorativa da ascrivere alle problematiche psichiatriche, e non essendo fatto valere alcuna affezione somatica con valenza invalidante, correttamente l’Ufficio AI ha negato il diritto a prestazioni. La decisione contestata va quindi confermata, mentre che il gravame va respinto. 2.10.   Giusta l'art. 69 cpv. 1 bis LAI in vigore sino al 31 dicembre 2020 ed applicabile in concreto (cfr. la Disposizione transitoria dell’art. 83 LPGA)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 ricorrente, il quale ha tuttavia chiesto di essere esonerato dal pagamento delle spese e di essere ammesso all’assistenza giudiziaria. 2.11.   Con riferimento quindi alla richiesta di esonero dal pagamento di tasse e spese processuali (cfr. art. 3 cpv. 1 della Legge sull’assistenza giudiziaria e sul patrocinio d’ufficio [LAG]), va detto che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 caso concreto, dal certificato per l’ammissione all’assistenza giudiziaria risulta che il ricorrente è divorziato e vive da solo. Egli è senza attività lucrativa e al beneficio di prestazioni assistenziali. Inoltre, vista anche la documentazione prodotta, di primo acchito il ricorso non pareva poter essere considerato manifestamente privo di fondamento. Essendo dunque nella fattispecie soddisfatti i requisiti cumulativi per la sua concessione, l'assistenza giudiziaria a favore dell'assicurato va concessa, riservato l'eventuale obbligo di rimborso, qualora la sua situazione economica dovesse in futuro migliorare (Kieser, Kommentar ATSG, 2003, ad art. 61, n. 93; cfr. art. 9 Lag; relativamente al gratuito patrocinio nella procedura davanti al TF cfr. art. 152 cpv. 3 OG; STF I 569/02 del 15 luglio 2003 consid. 5; STF U 234/00 del</w:t>
      </w:r>
    </w:p>
    <w:p>
      <w:r>
        <w:rPr>
          <w:b/>
        </w:rPr>
        <w:t>E. 23</w:t>
      </w:r>
    </w:p>
    <w:p>
      <w:r>
        <w:t>maggio 2002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