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32.2020.53 vom 24. Februar 2020</w:t>
      </w:r>
    </w:p>
    <w:p>
      <w:r>
        <w:t>TI Tribunale d'appello, 2020-02-24, IT</w:t>
      </w:r>
    </w:p>
    <w:p>
      <w:r>
        <w:rPr>
          <w:b/>
        </w:rPr>
        <w:t xml:space="preserve">Quelle: </w:t>
      </w:r>
      <w:r>
        <w:t>https://mcp.opencaselaw.ch/entscheid/ti_gerichte_32.2020.53</w:t>
      </w:r>
    </w:p>
    <w:p>
      <w:r>
        <w:t>FR: TI_GERICHTE 32.2020.53 du 24 février 2020</w:t>
      </w:r>
    </w:p>
    <w:p>
      <w:r>
        <w:t>IT: TI_GERICHTE 32.2020.53 del 24 febbraio 2020</w:t>
      </w:r>
    </w:p>
    <w:p>
      <w:pPr>
        <w:pStyle w:val="Heading2"/>
      </w:pPr>
      <w:r>
        <w:t>Erwägungen</w:t>
      </w:r>
    </w:p>
    <w:p>
      <w:r>
        <w:rPr>
          <w:b/>
        </w:rPr>
        <w:t>E. 17</w:t>
      </w:r>
    </w:p>
    <w:p>
      <w:r>
        <w:t>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2.3.   Se, però, un assicurato maggiorenne non esercitava un'attività lucrativa prima di essere invalido, l'applicazione nei suoi confronti del concetto d’incapacità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in Sécurité sociale 1/2018 pag. 40 segg.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diritti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2.4.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9C_671/2017 del 12 luglio 2018 consid. 3.2.1 con riferimenti). Infine va fatto presente che, oltre all’art. 27 OAI, anche l’art. 27bis cpv. 2 - 4 OAI è stato modificato con effetto dal 1° gennaio 2018. In particolare, conformemente all’art. 27bis cpv. 3 lett. a OAI, è stato introdotto un nuovo modello di calcolo.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Nelle succitate spiegazioni dell’UFAS si legge: " Il modello di calcolo del metodo misto attualmente applicato è contestato già da lungo tempo dalla dottrina, che ne critica la considerazione eccessiva del tempo parziale nell’ambito dell’attività lucrativa (una volta per determinare l’importo del reddito senza invalidità e poi ancora una volta nella ponderazione in funzione del grado d’occupazione). Questo aspetto è stato infine censurato anche dalla Corte EDU. Il modello proposto risponde a questa critica tenendo conto sostanzialmente in egual misura del grado d’invalidità nell’attività lucrativa e di quello nelle mansioni consuete. In questo modo si prenderanno maggiormente in considerazione le limitazioni in ambito lavorativo, il che comporterà di fatto un tendenziale aumento dei gradi d’invalidità rispetto a oggi. Il nuovo modello si rifà alla regolamentazione nell’ambito dell’assicurazione obbligatoria contro gli infortuni (AINF), secondo la quale per la parte relativa all’attività lucrativa il reddito senza invalidità è calcolato in riferimento a un ipotetico impiego a tempo pieno. La critica mossa a questo metodo è che tiene conto di un reddito che l’assicurato non avrebbe conseguito neanche senza limitazioni dovute a ragioni di salute, ma in realtà sia in ambito AINF sia in ambito AI sono applicati dei correttivi per considerare il reddito effettivamente conseguito: nel caso dell’AINF, l’ammontare della rendita dipende dall’effettivo guadagno assicurato, mentre nel caso dell’AI il correttivo consiste nel fatto che l’ammontare della rendita varia in funzione del reddito medio sul quale sono stati versati i contributi sociali. Il modello proposto garantisce inoltre automaticamente che si tenga sistematicamente conto delle interazioni tra attività lucrativa ed economia domestica nell’ottica di una maggiore conciliabilità tra famiglia e lavoro. Per determinare il grado d’invalidità nell’ambito dell’attività lucrativa si partirà da un ipotetico impiego a tempo pieno. Allo stesso modo, l’attività nell’ambito delle mansioni consuete verrà calcolata come per gli assicurati occupati a tempo pieno nelle mansioni consuete.” (Parte II, punto. 1.1.1, pag. 5).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Nella presente fattispecie, l’Ufficio AI ha applicato il metodo misto e, in base ai dati forniti dal datore di lavoro, ha considerato l’assicurata salariata al 71.25% e casalinga al 28.75%. Tale suddivisione, peraltro pure condivisa dal patrocinatore dell’assicurata, può essere fatta propria da questo Tribunale, non risultando dagli atti e, in particolare, dal percorso professionale dell’interessata, ragione alcuna per scostarsene. Al contrario, dal questionario per il datore di lavoro, compilato in data 29 maggio 2018, risulta che il grado di occupazione dell’interessata, attiva quale sostituto capo-ufficio dal 1° aprile 2004, fosse proprio del 71.25% (cfr. doc. 5). Percentuale pure confermata dall’assicurata stessa, la quale, nella richiesta di prestazioni del giugno 2018, ha indicato di aver svolto l’attività lavorativa di impiegata dal marzo 1990 “ad oggi”, nella misura del 71.25% (cfr. doc. 8). 2.6. Per quanto concerne l’aspetto medico, al fine di accertare lo stato di salute dell’assicurata, l’Ufficio AI ha ordinato una valutazione peritale, affidata al dr. __________, spec. FMH in neurologia. Quest’ultimo, nel referto peritale del 21 febbraio 2019, posta la diagnosi con ripercussione sulla capacità lavorativa di “mielopatia cervicale verosimilmente di eziologia periprocedurale nel contesto di infiltrazione cervicale il 23.01.2018 con attuale miglioramento clinico” e, quali diagnosi senza conseguenze sulla capacità lavorativa, quelle di “miogelosi della spalla destra con attualmente cervicalgie incostanti; pregressa colecistectomia su calcolosi biliare e stato dopo resezione di polipi intestinali per via endoscopica”, ha considerato che “vi siano tutto sommato buone capacità e risorse dal punto di vista neurologico”. Esprimendosi a proposito della capacità lavorativa, il perito ha ritenuto che “la paziente può garantire 8 ore al giorno nell’attività svolta fino ad ora di impiegata addetta all’Ufficio __________ presso il __________ di __________”, precisando che: " Come si sviluppa nel tempo questa capacità lavorativa? Ritengo che l’A. fosse limitata in misura del 50% fino a gennaio 2019. Nel frattempo si è verificato proprio nelle ultime settimane un miglioramento dei sintomi algici al braccio per cui ritengo che ora e al più tardi a partire da inizio febbraio 2019 vi sia ormai una capacità lavorativa praticamente del 100%, rispettivamente che l’A. è in grado di riprendere la precedente attività lavorativa in misura del 71.25% come ha svolto in passato. A questo proposito è importante sottolineare il fatto che ciò non significa negare la gravità e la rilevanza di quanto accaduto in gennaio 2018, ma l’evoluzione è stata complessivamente favorevole sull’arco di un anno, come viene d’altronde confermato sia dal medico curante, dr. __________, che dai neurologi del __________ che hanno seguito la paziente e dunque a questo punto non si giustifica più un prolungamento dell’incapacità lavorativa.” (Doc. 27 pag. 11) Rispondendo, poi, alla domanda relativa alla capacità lavorativa residua in attività adeguate, il perito ha precisato che “in sé ritengo che l’attività già svolta dalla paziente di impiegata di ufficio è sicuramente adeguata e difficilmente si potrà trovare un’attività più favorevole”, aggiungendo che “qualunque attività che non comporti un rilevante carico fisico al braccio destro è proponibile” (doc. 27 pag. 12). Infine, riguardo all’esecuzione delle mansioni domestiche, il perito ha constatato che l’assicurata presenta delle “limitazioni per le attività più pesanti, come passare l’aspirapolvere, lavare i pavimenti, pulire il bagno”; “necessita di qualche aiuto per la spesa settimanale, soprattutto quando vi è la necessità di trasportare borse pesanti, per questo necessita dell’aiuto del marito”, e, inoltre, vi è “qualche limitazione per stendere e ritirare il bucato, riesce a stirare ma soprattutto questo viene effettuato dal marito” (doc. 27 pag. 13). Constatando che l’assicurata, nonostante le risultanze peritali, ha continuato a lavorare al 50% e che il dr. __________, in data 31 luglio 2019, ha attestato che l’incapacità lavorativa del 50% dal 12 febbraio 2018 “perdura” (cfr. doc. 34), l’Ufficio AI ha chiesto una presa di posizione al SMR. Con annotazione dell’11 novembre 2019, il dr. __________ del SMR ha considerato che “dalla disamina dei nuovi rapporti medici pervenuti agli atti non emergono ragioni mediche oggettive che giustifichino le IL attestate dopo il RA SMR del 26.2.2019 basato sulla perizia specialistica del 25.2.2019” (doc. 36). L’Ufficio AI ha quindi nuovamente interpellato il perito, dr. __________, chiedendogli di precisare la percentuale di inabilità dell’assicurata nelle mansioni domestiche. Con complemento del 2 dicembre 2019, il dr. __________ ha osservato: " (…) Sulla base dei reperti constatati in occasione della perizia del 12 febbraio 2019 ritengo che anche come casalinga l’assicurata presenti una limitazione della capacità lavorativa del 10% e questo, come discusso a pagina 13 della perizia, soprattutto per attività pesanti che necessitino di sforzi rilevanti con il braccio destro (passare l’aspirapolvere, lavare i pavimenti, pulire il bagno, trasportare pesi come borse della spesa oppure stendere e ritirare il bucato): anche anamnesticamente le limitazioni erano comunque di entità contenuta. È difficile invece ricostruire con più esattezza quale fosse la capacità lavorativa per queste attività nel corso del 2018, vista l’evoluzione in lento progressivo miglioramento. Vi era stato comunque sicuramente un periodo di nelle fasi immediatamente successive all’evento acuto, durante il quale le limitazioni anche per le attività casalinghe erano maggiori.” (Doc. 39) A seguito delle contestazioni presentate dall’assicurata, in sede di audizione, contro il progetto del 30 dicembre 2019 di attribuzione di una mezza rendita di invalidità temporanea (cfr. doc. 43), l’Ufficio AI ha ordinato un’inchiesta per le persone che si occupano dell’economia domestica, dalla quale è risultata una percentuale di limitazioni del 14% (doc. 45). 2.7.   In sede ricorsuale, l’assicurata ha nuovamente contestato l’attribuzione di una rendita di invalidità solo per un periodo limitato di tempo, sottolineando come le limitazioni derivanti dal danno alla salute le permettano unicamente di lavorare nella misura del 50%, come del resto confermato dagli specialisti del __________. In particolare, con referto del 18 marzo 2020, il PD dr. __________ del __________ ha rilevato di ritenere “necessario mantenere un’inabilità lavorativa del 50% alla luce delle residue algie e disestesie presenti, in esiti post-traumatici, in qualità di amministrativa (mansione attuale)” (doc. E). Al riguardo, nelle annotazioni del 14 maggio 2020 - allegate alla risposta di causa dell’Ufficio AI e redatte in risposta alla proposta interna dell’avv. __________ dell’UAI - il dr. __________ del SMR ha osservato: " Agli atti non risulta oggettivato alcun peggioramento dello stato clinico. Il peggioramento, infatti, viene riferito dalla stessa assicurata ma senza alcun supporto semeiologico-strumentale. Nel rapporto specialistico del __________ del 18.3.2020, il dr. med. __________ esprime la sua opinione a proposito della capacità lavorativa dell’assicurata, senza tuttavia supportarla con un nuovo esame clinico obiettivo e un nuovo reperto strumentale (TC; RMN, ENMG), non apportando, quindi, alcun elemento di novità rispetto a quanto noto e valutato in ambito peritale e AI. Trattasi dunque di diversa valutazione di una medesima fattispecie medica. Del resto, il dr. __________ scrive letteralmente: “riporta un peggioramento delle cervicobrachialgie a destra” ed è lapalissiano che tale affermazione non può costituire alcun esame clinico obiettivo lege artis che dimostri ulteriori limitazioni funzionali, tali da giustificare un’incapacità lavorativa del 50% né alcun rilievo strumentale, come potrebbe essere una elettroneuromiografia o una nuova MRI. Infine, si fa notare che la terapia farmacologica assunta dall’assicurata non depone per una sintomatologia così imponente. Infatti, il Pregabalin è dosato a 25 mg, mentre sovente la posologia del farmaco è di 300 mg e può giungere fino a 600 mg/die. Il Cymbalta viene anch’esso “sottodosato” a 30 mg, mentre per il trattamento del dolore si parte da 60 mg fino ad arrivare a 120 mg/die. Infine, l’Arcoxia, un classico antidolorifico FANS (Anti-infiammatorio Non Steroideo), inibitore della COX2, viene addirittura assunto solo in riserva. Ciò rende conto di alcun peggioramento clinico oggettivo e conferma quanto già definito a livello SMR. In conclusione, non vi è alcuna indicazione ad ulteriori approfondimenti clinici (verso cui non ha proceduto nemmeno il dr. __________) e si confermano integralmente tutte le prese di posizione SMR sul caso.” (Doc. IV/1) In corso di causa, il patrocinatore dell’assicurata ha prodotto ulteriore documentazione medica a comprova dell’attualità dell’incapacità lavorativa del 50% dell’interessata. In particolare, con referto del 26 giugno 2020, il PD dr. __________, facendo riferimento alla visita dell’assicurata eseguita in data 24 giugno 2020, ha concluso: " (…) Valutazione Rispetto a febbraio u. s., constatiamo una sostanziale stabilità dei disturbi riferiti dalla paziente, con persistenza di fluttuanti disestesie periomorali e a dx e di ipoestesia del IV e V dito della mano dx. L’esame neurologico è parimenti sovrapponibile con riscontro di un’ipoestesia tatto-algica al IV e V dito destro. Vista la stabilità clinica e dei sintomi riferiti, non troviamo giustificato al momento eseguire ulteriori accertamenti neurologici. Alla luce delle residue algie e disestesie presenti in esiti post-traumatici, riteniamo necessario mantenere un’inabilità lavorativa del 50% in qualità di amministrativa (mansione attuale), con un lavoro da effettuare dalle 7.30 alle 12.00, con pause di 15-20 minuti ogni 2 ore. A fronte di una sostanziale stabilità dei disturbi negli ultimi 2 anni, in presenza della nota lesione midollare in sede cervicale, riteniamo improbabile in futuro una completa remissione della sintomatologia descritta.” (Doc. E1) Anche il dr. __________, in data 15 giugno 2020, ha preso posizione sulla situazione dell’assicurata, osservando: " (…) - L'assicurazione __________ che copre le indennità di perdita di lavoro della __________ di __________ non ha mai contestato il grado di incapacità lavorativa e questo per due anni. Se lo avesse voluto fare tramite il suo medico di fiducia poteva farlo quando voleva. Ovviamente riteneva la valutazione data inizialmente da me, poi dal reparto neurologia dell'Ospedale __________ di __________, in particolare dal Prof. Dr. __________, co-Primario, valida. - II Prof. __________ è stato chiamato in causa dal dr. __________, il neurologo cui io avevo affidato, una volta chiarito di cosa si trattava, il caso poiché un proseguo specialistico neurologico della cura era ovvio. A sua volta il dr. __________ ha indirizzato il 25 maggio 2018 la paziente al Prof. __________ per completamento diagnostico. Il Prof. __________ ha seguito sì la paziente (prima valutazione 05 luglio 2018) fino al 18 marzo 2020 (ultima valutazione) con controlli regolari, ma non è da ritenersi sensu stricto medico curante o, vale a dire, possibilmente di parte, della signora RI 1. Gli era infatti stato inviato per approfondimenti medici dallo specialista al quale mi ero rivolto io, quale medico di famiglia della signora RI 1. II suo parere non è quindi da considerare come un parere di parte. Invece il parere della A.I. si basa sostanzialmente su quanto stabilito dal dr. __________ che ha visto puntualmente una sola volta la paziente e che è da considerare di parte, avendo fatto la sua valutazione su incarico della A.I. stessa. Occorre ribadire che si tratta di una valutazione sulla scorta di una sola visita e non una valutazione effettuata con controlli regolari per la durata di due anni come è stato il caso del Prof. __________. La situazione dal profilo organico a distanza di due anni dall'evento (per il quale la signora RI 1 ha ovviamente sofferto in modo notevole anche dal profilo psichico) è ormai stabilizzata ed in particolare un eventuale ulteriore miglioramento non è da attendere.” (Doc. F) L’assicurata ha, inoltre, trasmesso al TCA, un rapporto stilato dalla propria terapista in agopuntura, signora __________ (doc. G) e un resoconto redatto dalla signora __________ della __________ (doc. H), a comprova della persistenza dei dolori neuropatici risentiti. Con annotazione del 9 luglio 2020, il dr. __________ del SMR si è così espresso riguardo all’ulteriore documentazione prodotta dal legale dell’interessata: " (…) Si risponde innanzitutto che per la situazione clinica dell'assicurata non vi è alcuna indicazione medica a valutazioni funzionali seriate, stante il fatto inoppugnabile di una diagnosi accertata e di alcun nuovo reperto strumentale dalla MRI del 2018. Pertanto, una sola visita peritale è più che sufficiente a definirne lo status. Per altri versi, l'assicurata non risulta affetta da altre patologie con una ricaduta certa sulla capacità lavorativa. L'osservazione del rappresentante legale è quindi fuori luogo e non ha alcuna pertinenza scientifica. Le considerazioni sulla valutazione peritale del Dr. med. __________, espresse dal rappresentante legale dell'assicurata, costituiscono un'opinione personale, mentre non si fondano su reperti strumentali oggettivi né su valutazioni semeiologiche specifiche che apportino elementi di novità rispetto a quanto già valuto in ambito SMR. Il parere espresso dal Dr. med. __________ il 15.06.2020 non costituisce argomentazione medica e non è circostanziato da alcun esame obiettivo lege artis che smentisca l'esame obiettivo effettuato dal Dr. med. __________ in sede peritale. Inoltre, egli non oggettiva strumentalmente nuove entità nosologiche codificate secondo ICD-10. Pertanto, non dimostra uno status clinico diverso da quello emerso in sede peritale. Circa le valutazioni del primario del __________, si è già discusso nella mia precedente presa di posizione del 14.05.2020 (0001 - GED) a cui rimando. Mi preme qui ricordare al rappresentante legale dell'assicurata che il termine miogelosi (letteralmente, "muscolo congelato") si riferisce ad una condizione nella quale un determinato distretto muscolare appare indurito. La definizione più corretta è quella di sindrome miofasciale e si tratta di una condizione estremamente diffusa non solo nella popolazione adulta ma anche in quella pediatrica. Essa rimane, pertanto, una "diagnosi" secondaria, come già considerata tale dallo stesso Dr. med. __________. Ancora, si osserva che l'esame obiettivo eseguito dal Dr. med. __________ in occasione della visita del 24.06.2020 e che riportiamo di seguito (…) descriva uno status neurologico sovrapponibile a quello obiettivato dal Dr. med. __________ in sede peritale (…). In particolare, sottolineiamo che la frase "non deficit stenici all’esame cursorio" del Dr. med. __________, corrisponde esattamente alla frase "tono e trofismo muscolare normali. Non vi sono paresi ai principali gruppi muscolari" del Dr. med. __________. Inoltre, proprio il Dr. med. __________, in considerazione della stabilità clinica dell'assicurata, non trova giustificato eseguire ulteriori accertamenti radiologici e non prevede nemmeno prossimi controlli. E a tal proposito, in presenza di un quadro clinico stabile ed in assenza di un nuovo substrato morfologico strumentale dimostrato, l'attestazione di IL del 50% da parte del Dr. med. __________ non trova una sostenibilità scientifica, mentre rappresenta una diversa valutazione della medesima fattispecie medica. Anche il rapporto della signora __________ pervenuto al TCA il 7.7.2020 non contiene alcuna argomentazione di carattere medico che dimostri uno status clinico diverso da quello valutato in sede peritale, rappresentando, ancora una volta, un’opinione personale priva di elementi oggettivi. Il rapporto fisio summit della signora __________, allo stesso modo, non fornisce alcuna informazione di carattere medico e si fonda su quanto riferisce la stessa assicurata, oltre ad esprimere un parere personale. Alla luce delle suesposte considerazioni, confermo integralmente le conclusioni del RAF SMR del 26.02.2019.” (Doc. X/1) 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2.9.   Chiamato a pronunciarsi, questo Tribunale non può, senza che prima venga predisposto un complemento peritale, confermare la decisione impugnata, basata, per quanto riguarda gli aspetti medici, sulla valutazione peritale del dr. __________. È vero che il medico del SMR, dr. __________, al quale è stata sottoposta la documentazione medica prodotta dall’interessata e, in particolare, i referti del __________, ha confermato la validità delle conclusioni peritali, escludendo l’intervento di un peggioramento dello stato di salute dell’assicurata rispetto a quanto valutato dal perito neurologo. Cionondimeno, questo Tribunale non può ignorare che, nel referto peritale, il dr. __________ ha indicato che, sentito telefonicamente in data 19 febbraio 2019, il PD dr. __________ era “in linea di principio d’accordo” con una ripresa totale senza limitazioni dell’attività lavorativa (cfr. doc. 27 pag. 8), mentre nel referto del 18 marzo 2020 (doc. E) e in quello del 26 giugno 2020 (cfr. doc. E1), lo specialista del __________ ha, invece, considerato “necessario mantenere un’inabilità lavorativa del 50%” nell’abituale professione, a causa della “persistenza di fluttuanti disestesie peromorali e di ipoestesia del IV e V dito della mano destra”. Ora, al riguardo, il TCA ritiene che l’amministrazione non avrebbe potuto limitarsi a sottoporre i referti del PD dr. __________ al vaglio del medico del SMR, per verificare se gli stessi fossero o meno atti a rimettere in discussione le conclusioni peritali, ma avrebbe dovuto richiedere una presa di posizione direttamente al dr. __________, così da accertare l’eventuale presenza di condizioni tali da indurlo a modificare il proprio apprezzamento. Tale soluzione appare tanto più giustificata, se si pone mente al fatto che lo stesso perito ha considerato che “tutto sommato ritengo che l’attuale situazione permetta all’assicurata di lavorare senza limitazioni maggiori al più tardi a partire da inizio febbraio 2019 e cioè dal momento in cui è stata descritta ed anche confermato ad un esame clinico da parte dei colleghi del __________, un miglioramento anche dei sintomi soggettivi al braccio destro” (cfr. doc. 27 pagg. 9-10). Visto il chiaro riferimento da parte del dr. __________, al momento di formulare le proprie conclusioni, a quanto apprezzato anche dagli specialisti del __________, il TCA ritiene che a fronte di una successiva diversa quantificazione della percentuale di capacità lavorativa esigibile dall’assicurata da parte del PD dr. __________, in contrasto con quella del perito, spettasse unicamente al dr. __________ esprimersi, attraverso una valutazione peritale di decorso, non potendo essere considerata sufficiente l’indicazione con la quale il medico SMR ha liquidato la questione considerandola una diversa valutazione di una identica fattispecie. All’autore del referto peritale incombeva, in particolare, accertare e chiarire se il miglioramento dei sintomi algici al braccio da lui constatato e che “si è verificato proprio nelle ultime settimane ” – ciò che, a suo parere, giustificava “ che ora e al più tardi a partire da inizio febbraio 2019 vi sia ormai una capacità lavorativa praticamente del 100%” (cfr. doc. 27, corsivo della redattrice) - fosse persistito anche successivamente, in maniera duratura o se, al contrario, avesse carattere solo transitorio. Questa seconda evenienza sembrerebbe avvalorata dal fatto che l’assicurata ha continuato a risentire e a lamentare algie e disestesie al braccio anche dopo la visita peritale, motivo per il quale il PD dr. __________, nei referti del 18 marzo 2020 e del 26 giugno 2020, ha continuato ad attestare la necessità di una limitazione del 50% dell’esigibilità lavorativa nell’usuale attività amministrativa dell’interessata (cfr. doc. E e E1). 2.10.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2.9. , ci troviamo di fronte ad un accertamento dei fatti lacunoso – ribadita la necessità di una perizia neurologica di decorso - si giustifica il rinvio degli atti all’amministrazione affinché metta in atto gli accertamenti peritali specialistici necessari al fine di chiarire se le condizioni di salute dell’interessata siano tali da rendere esigibile una totale ripresa della sua usuale attività lavorativa, oppure no (specificando, in tal caso, quale sia il relativo grado di incapacità lavorativa e di limitazione nelle attività domestiche). Quindi in esito a tali complementi istruttori, l’amministrazione si pronuncerà nuovamente sul diritto alla rendita di invalidità dell’assicurata dopo il 30 aprile 2019 (fermo restando il diritto alla mezza rendita di invalidità dal 1° gennaio 2019 al 30 aprile 2019, incontestato). 2.11   .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dell’Ufficio AI. 2.12.   Nel caso di specie, inoltre, visto l’esito del ricorso (il rinvio con esito aperto equivale a piena vittoria: d a ultimo STF 8C_859/2018 del 26 novembre 2018 consid. 5 con rinvio a DTF 137 V 210 consid. 7.1 pag. 271 con riferimento ), la ricorrente, patrocinata da un legale, ha diritto all’importo di fr. 2’500.- a titolo di ripetibili da mettere a carico dell’ufficio AI (cfr. art. 61 lett. g LPGA; 22 LPTCA; cfr. STCA 35.2018.129 del 28 marzo 2019, consid. 2.15.).</w:t>
      </w:r>
    </w:p>
    <w:p>
      <w:r>
        <w:rPr>
          <w:b/>
        </w:rPr>
        <w:t>E. 27</w:t>
      </w:r>
    </w:p>
    <w:p>
      <w:r>
        <w:t>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religiosi s'intende ogni attività svolta nella comunità.</w:t>
      </w:r>
    </w:p>
    <w:p>
      <w:r>
        <w:t>Con la modifica dellOrdinanza sono state adeguate le attività nellambito delle mansioni consuete svolte dalle persone occupate nelleconomia domestica (cfr. R. Leuenberger - G. Mauro, Changements dans la méthode mixte, in Sécurité sociale 1/2018 pag. 40 segg. (45-46)).</w:t>
      </w:r>
    </w:p>
    <w:p>
      <w:r>
        <w:t>Come emerge dalle spiegazioni pubblicate dallUfficio federale delle assicurazioni sociali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diritti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w:t>
      </w:r>
    </w:p>
    <w:p>
      <w:r>
        <w:t>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2.4.   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ulteriormente nelle DTF 137 V 334, DTF 133 V 504 e DTF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Uneventuale ridotta capacità nell'ambito professionale o dell'adempimento delle mansioni consuete (secondo l'art. 27 OAI) in seguito a maggiori sforzi compiuti nell'altro settore d'attività va tuttavia presa in considerazione solo a determinate condizioni.</w:t>
      </w:r>
    </w:p>
    <w:p>
      <w:r>
        <w:t>Ricordato che ilmetodo mistoè previsto per le persone che esercitano unattività lucrativa e che oltre a questa conducono uneconomia domestica o svolgono altre mansioni ai sensi dellart. 8 cpv. 3 LPGA,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ilmetodo ordinario(DTF 131 V 51).</w:t>
      </w:r>
    </w:p>
    <w:p>
      <w:r>
        <w:t>Chiamata a pronunciarsi in un caso in cui si trattava di valutarel'invalidità per gli assicurati che esercitano un'attività lucrativa a tempo parziale senza consacrare il loro tempo libero allo svolgimento delle mansioni consuete, lAlta Corte,nella DTF 142 V 290, ha stabilito chela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w:t>
      </w:r>
    </w:p>
    <w:p>
      <w:r>
        <w:t>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9C_671/2017 del 12 luglio 2018 consid. 3.2.1 con riferimenti).</w:t>
      </w:r>
    </w:p>
    <w:p>
      <w:r>
        <w:t>Infine va fatto presente che, oltre allart. 27 OAI, anche lart. 27bis cpv. 2 - 4 OAI è stato modificato con effetto dal 1° gennaio 2018. In particolare, conformemente allart. 27bis cpv. 3 lett. a OAI, è stato introdotto un nuovo modello di calcolo.</w:t>
      </w:r>
    </w:p>
    <w:p>
      <w:r>
        <w:t>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Nelle succitate spiegazioni dellUFAS si legge:</w:t>
      </w:r>
    </w:p>
    <w:p>
      <w:r>
        <w:t>2.5.   Al fine di determinare il metodo applicabile per stabilire l'eventuale invalidità, si deve anzitutto appurare se la persona esercitava o meno attività lucrativa immediatamente prima dell'insorgere dell'invalidità. Occorre in seguito verificare,fondandosi sulla globalità delle circostanze, se,ipoteticamente, in assenza del danno alla salute, l'assicurato avrebbe o meno esercitato un'attività lavorativa.</w:t>
      </w:r>
    </w:p>
    <w:p>
      <w:r>
        <w:t>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w:t>
      </w:r>
    </w:p>
    <w:p>
      <w:r>
        <w:t>Da considerare sono tutte le circostanze del caso concreto, segnatamente le condizioni finanziarie, familiari, l'età dell'assicurato, la sua situazione professionale, le affinità e la personalità dell'assicurato.</w:t>
      </w:r>
    </w:p>
    <w:p>
      <w:r>
        <w:t>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w:t>
      </w:r>
    </w:p>
    <w:p>
      <w:r>
        <w:t>2.6.Per quanto concerne laspetto medico,al fine di accertare lo stato di salute dellassicurata, lUfficio AI ha ordinato una valutazione peritale, affidata al dr. __________, spec. FMH in neurologia.</w:t>
      </w:r>
    </w:p>
    <w:p>
      <w:r>
        <w:t>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Rilevato come, per le ragioni già diffusamente esposte al considerando2.9.,ci troviamo di fronte ad un accertamento dei fatti lacunoso  ribadita la necessità di una perizia neurologica di decorso - si giustifica il rinvio degli atti allamministrazione affinché metta in atto gli accertamenti peritali specialistici necessari al fine di chiarire se le condizioni di salute dellinteressata siano tali da rendere esigibile una totale ripresa della sua usuale attività lavorativa, oppure no (specificando, in tal caso, quale sia il relativo grado di incapacità lavorativa e di limitazione nelle attività domestiche).</w:t>
      </w:r>
    </w:p>
    <w:p>
      <w:r>
        <w:t>Quindi in esito a tali complementi istruttori, lamministrazione si pronuncerà nuovamente sul diritto alla rendita di invalidità dellassicurata dopo il 30 aprile 2019 (fermo restando il diritto alla mezza rendita di invalidità dal 1° gennaio 2019 al 30 aprile 2019, incontestato).</w:t>
      </w:r>
    </w:p>
    <w:p>
      <w:r>
        <w:t>2.11   .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dellUfficio AI.</w:t>
      </w:r>
    </w:p>
    <w:p>
      <w:r>
        <w:t>2.12.   Nel caso di specie, inoltre, visto lesito del ricorso (il rinvio con esito aperto equivale a piena vittoria: da ultimo STF8C_859/2018 del 26 novembre 2018 consid. 5con rinvio aDTF 137 V210 consid. 7.1 pag. 271 con riferimento), la ricorrente, patrocinata da un legale, ha diritto allimporto di fr. 2500.-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