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32.2020.51 vom 9. März 2020</w:t>
      </w:r>
    </w:p>
    <w:p>
      <w:r>
        <w:t>TI Tribunale d'appello, 2020-03-09, IT</w:t>
      </w:r>
    </w:p>
    <w:p>
      <w:r>
        <w:rPr>
          <w:b/>
        </w:rPr>
        <w:t xml:space="preserve">Quelle: </w:t>
      </w:r>
      <w:r>
        <w:t>https://mcp.opencaselaw.ch/entscheid/ti_gerichte_32.2020.51</w:t>
      </w:r>
    </w:p>
    <w:p>
      <w:r>
        <w:t>FR: TI_GERICHTE 32.2020.51 du 9 mars 2020</w:t>
      </w:r>
    </w:p>
    <w:p>
      <w:r>
        <w:t>IT: TI_GERICHTE 32.2020.51 del 9 marzo 2020</w:t>
      </w:r>
    </w:p>
    <w:p>
      <w:pPr>
        <w:pStyle w:val="Heading2"/>
      </w:pPr>
      <w:r>
        <w:t>Erwägungen</w:t>
      </w:r>
    </w:p>
    <w:p>
      <w:r>
        <w:rPr>
          <w:b/>
        </w:rPr>
        <w:t>E. 25</w:t>
      </w:r>
    </w:p>
    <w:p>
      <w:r>
        <w:t>giugno 2020 (doc. IX) di respingere il ricorso alla luce delle medesime obiezioni sollevate, già trattate con la risposta di causa. L'insorgente non ha formulato ulteriori osservazioni (doc. X). considerato in diritto 2.1.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Scartazzini ,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con STFA U 156/05 del 14 luglio 2006, consid. 5). 2.2.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 applicando l'impegno che si può esigere da lui (RCC 1984 pag. 139; Duc , Les assurances sociales en Suisse, 1995, pag. 458; Maurer ,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Va qui segnalato che nel suo nuovo tenore in vigore dal 1° gennaio 2018, l'art. 27 cpv. 1 OAI prevede che per mansioni consuete secondo l'art. 7 cpv. 2 LAI di assicurati occupati nell'economia domestica si intendono gli usuali lavori domestici nonché la cura e l'assistenza ai familiari. Il nuovo art. 27 cpv. 2 OAI stabilisce che per mansioni consuete secondo l'art. 7 cpv. 2 LAI di membri di comunità di religiosi si intende ogni attività svolta nella comunità. Con la modifica dell'Ordinanza sono state adeguate le attività nell'ambito delle mansioni consuete svolte dalle persone occupate nell'economia domestica ( R. Leuenberger - G. Mauro , “Changements dans la méthode mixte”, in Sécurité sociale 1/2018 pag. 40 segg.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Per ciò che concerne il caso in esame,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(N. 3087 CIGI). Il grado di disabilità per ogni singola attività risulta dal confronto percentuale tra la ponderazione senza disabilità – stabilita dall'assistente sociale (N. 3083 CIGI) - e la limitazione dovuta alla disabilità (N. 3085 CIGI). 2.3.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 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(STFA I 276/05 del 24 aprile 2006, parzialmente pubblicata in Plaidoyer 5/06 pag. 54 segg.; sentenza I 156/04 del 13 dicembre 2005, pubblicata in SVR 2006 IV Nr. 42 pag. 151).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presente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Tribunale federale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vedi la STCA 32.2017.53 del 13 novembre 2017 e la STCA 32.2016.86 del 15 maggio 2017). Come detto, il 1° gennaio 2018 sono entrati in vigore gli articoli</w:t>
      </w:r>
    </w:p>
    <w:p>
      <w:r>
        <w:rPr>
          <w:b/>
        </w:rPr>
        <w:t>E. 27</w:t>
      </w:r>
    </w:p>
    <w:p>
      <w:r>
        <w:t>giugno 2019 va pertanto senza alcun dubbio posta alla base della determinazione del grado di invalidità dell'assicurata. 2.19.   Sulla base del metodo di misto applicabile alla ricorrente, che va ritenuta salariata in ragione del 90% e casalinga per il restante 10%, si ha che il grado di invalidità parziale per la parte salariata del 38,29% (cfr. consid. 2.16) e quello per la parte casalinga stabilito dall'inchiesta domiciliare nel 31%, danno luogo dal 1° gennaio 2019 ad un grado di invalidità globale del 37,56% (90 [parte salariata] x 38,29% [impedimento parte lucrativa] + 10 [parte casalinga] x 31% [tasso di impedimento nelle mansioni consuete]), arrotondato al 38% . Come stabilito dall'Ufficio AI nella decisione del 9 marzo 2020, questo grado AI non dà diritto alla ricorrente a una rendita AI dal 1° gennaio 2019, perciò la sua richiesta deve essere respinta. 2.20.   Va infine rilevato che essa ha pure chiesto, in via subordinata, la concessione di provvedimenti di reintegrazione. La decisione impugnata ha infatti indicato che non erano dati i presupposti per una riqualifica professionale dell'assicurata, poiché la stessa ha dichiarato al consulente in integrazione professionale di non essere interessata a un cambio di attività lavorativa. In concreto, pur essendo il grado d'invalidità della ricorrente (38%) superiore alla soglia minima di diminuzione della capacità di guadagno conferente diritto a provvedimenti di riformazione professionale, che è del 20% (DTF 130 V 489 consid. 4.2; DTF 124 V 110 consid. 2b; STFA I 164/05 del 22 dicembre 2006 consid. 7; SVR 2010 IV Nr. 24; AHV Praxis 1997 pag. 80 consid. 1b), la decisione con cui l'Ufficio AI non ha proposto dei provvedimenti di integrazione professionale merita conferma. Con sentenza 9C_734/2010 del 18 maggio 2011 il TF, in un caso in cui un'assicurata invalida al 40% (percentuale calcolata secondo il metodo misto: consid. A in fine) aveva chiesto di essere messa a beneficio di provvedimenti integrativi di natura professionale, ha affermato che: " (…) 6.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della ricorrente non entra in considerazione (STCA 32.2019.160 del 9 giugno 2020; STCA 32.2017.63 del 6 novembre 2017; STCA 32.2016.137 del 23 maggio 2017; STCA 32.2016.59 del 30 marzo 2017; STCA 32.2012.39 del 24 ottobre 2012; STCA 32.2011.143 del 21 novembre 2011). Infatti, da un lato il consulente in integrazione professionale, esperto in materia, ha verbalizzato il 7 agosto 2019 (doc. 63) che l'assicurata non desiderava l'intervento da parte dell'Ufficio assicurazione invalidità e neppure una consulenza ergoterapica, volendo continuare con il lavoro abituale presso la Clinica __________ come assistente di cura fintanto che ne era in grado fisicamente, facendosi aiutare dalle colleghe nelle attività che le creavano dolori e dove era limitata. Dall'altro lato il consulente, sulla base della volontà della stessa assicurata e in considerazione della valutazione medico-teorica, ha affermato che essa era reintegrabile nella misura del 75% in attività adeguate, di tipo leggero, semplice e ripetitivo, rispettose dei limiti funzionali. E per questo tipo di attività, secondo la giurisprudenza, non è necessaria una riqualifica professionale. In conclusione, l'assicurata ha rifiutato dei provvedimenti di integrazione professionale e il consulente non ne intravvedeva di possibili al fine di migliorare la sua situazione lavorativa, visto che l'interessata non voleva lasciare il posto di lavoro di lunga data di assistente di cura. Da quanto precede discende che fintanto che l'assicurata continuerà a svolgere l'attività di assistente di cura non potrà ottenere dei provvedimenti di integrazione, non essendo la sua posizione migliorabile in quel contesto lavorativo. 2.21. Stante quanto precede, la pretesa dell'insorgente di versarle una rendita di invalidità di un quarto rispettivamente di annullare la decisione e di rinviare gli atti all'amministrazione per approfondire l'aspetto medico e ricalcolare il suo grado di invalidità non può essere accolta. Inoltre, nella misura in cui l'Ufficio assicurazione invalidità ha rifiutato alla ricorrente il riconoscimento (anche) di provvedimenti d'integrazione, la decisione impugnata merita conferma (STCA 32.2019.160 del 9 giugno 2020; STCA 32.2017.222 del 26 novembre 2018; STCA 32.2017.63 del 6 novembre 2017; STCA 32.2016.137 del 23 maggio 2017; STCA 32.2016.59 del</w:t>
      </w:r>
    </w:p>
    <w:p>
      <w:r>
        <w:rPr>
          <w:b/>
        </w:rPr>
        <w:t>E. 30</w:t>
      </w:r>
    </w:p>
    <w:p>
      <w:r>
        <w:t>marzo 2017; STCA 32.2012.39 del 24 ottobre 2012; STCA 32.2012.69 del 20 agosto 2012; STCA 32.2011.143 e STCA 32.2011.141 del 21 novembre 2011) e il ricorso deve essere respinto anche su questo punto. 2.22.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