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32.2020.5 vom 26. November 2019</w:t>
      </w:r>
    </w:p>
    <w:p>
      <w:r>
        <w:t>TI Tribunale d'appello, 2019-11-26, IT</w:t>
      </w:r>
    </w:p>
    <w:p>
      <w:r>
        <w:rPr>
          <w:b/>
        </w:rPr>
        <w:t xml:space="preserve">Quelle: </w:t>
      </w:r>
      <w:r>
        <w:t>https://mcp.opencaselaw.ch/entscheid/ti_gerichte_32.2020.5</w:t>
      </w:r>
    </w:p>
    <w:p>
      <w:r>
        <w:t>FR: TI_GERICHTE 32.2020.5 du 26 novembre 2019</w:t>
      </w:r>
    </w:p>
    <w:p>
      <w:r>
        <w:t>IT: TI_GERICHTE 32.2020.5 del 26 novembre 2019</w:t>
      </w:r>
    </w:p>
    <w:p>
      <w:pPr>
        <w:pStyle w:val="Heading2"/>
      </w:pPr>
      <w:r>
        <w:t>Regeste</w:t>
      </w:r>
    </w:p>
    <w:p>
      <w:r>
        <w:t>Assegno grandi invalidi (AGI) per minorenni e supplemento per cure intensive (SCI)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minuti). Di norma, il bisogno supplementare può essere riconosciuto solo se il normale bisogno di aiuto nel relativo ambito o settore raggiunge almeno il livello 3. La cifra marginale 4018 precisa che Nel caso dei minorenni, il bisogno di aiuto dipende in parte dalletà. Si applica la stessa classificazione utilizzata per gli adulti. A seconda dellambito/settore e delletà, è applicata una riduzione tra il 25 e il 100 per cento al bisogno di aiuto. Le riduzioni sono illustrate nei dettagli nellallegato 4. Lallegato 4, rubricato Minorenni: riduzioni del bisogno di aiuto computabile nel modulo FAKT, riporta dopo una nota (se sussiste un bisogno di aiuto dovuto allinvalidità, gli uffici AI devono applicare la stessa classificazione in livelli utilizzata per gli adulti, anche se il bisogno di aiuto dipende in parte dalletà. Il FAKT tiene automaticamente conto della riduzione corrispondente a seconda della fascia detà del minore), le riduzioni del caso.</w:t>
      </w:r>
    </w:p>
    <w:p>
      <w:r>
        <w:t>Con STF 9C_648/2013 del 17 ottobre 2014, pubblicata in DTF 140 V 543, lAlta Corte ha riconosciuto, al consid. 3.2.2, che lo strumento di indagine standardizzato FAKT2 è generalmente atto a quantificare il bisogno complessivo di assistenza di una persona (cfr., in particolare, consid. 3.2.2.4: Nach dem Gesagten ist FAKT2 grundsätzlich ein geeignetes Instrument zur Abklärung des Hilfebedarfs.).</w:t>
      </w:r>
    </w:p>
    <w:p>
      <w:r>
        <w:t>Questa giurisprudenza è stata confermata pure in DTF 141 V 642 (cfr. consid. 3.1).</w:t>
      </w:r>
    </w:p>
    <w:p>
      <w:r>
        <w:t>In siffatte circostanze, questa Corte, non condivide le censure ricorsuali sollevate dai patrocinatori della ricorrente - che vengono, pertanto, respinte - mentre concorda con quanto determinato dallassistente sociale (che, in applicazione delle precitate direttive, ha quantificato in 1 ora e 30 minuti limpegno supplementare per gli atti ordinari della vita, in 30 minuti quale impegno supplementare per le cure, in 3 minuti quale impegno supplementare per accompagnamento a visite mediche o a sedute di terapia e in 2 ore quale impegno supplementare per la sorveglianza per complessive 4 ore e 3 minuti) nel rapporto del 21 gennaio 2020 di cui al doc. V-1 e nel nuovo rapporto di cui al doc. V-2 e, quindi, con la proposta di giudizio avanzata dallUAI in sede di risposta del 5 febbraio 2020, giusta la quale lassi-curata ha diritto ad uno SCI di 4 ore dal 1° maggio 2019 (cfr. doc. V e consid. 1.6). In queste condizioni il ricorso va parzialmente accolto su questo punto e la decisione impugnata (che ha negato allassicurata il diritto ad uno SCI a fronte di un impegno supplementare complessivo di 3 ore e 18 minuti: cfr. pag. 158 e 193 incarto AI) riformata in tal senso.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