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32.2020.31 vom 29. Januar 2020</w:t>
      </w:r>
    </w:p>
    <w:p>
      <w:r>
        <w:t>TI Tribunale d'appello, 2020-01-29, IT</w:t>
      </w:r>
    </w:p>
    <w:p>
      <w:r>
        <w:rPr>
          <w:b/>
        </w:rPr>
        <w:t xml:space="preserve">Quelle: </w:t>
      </w:r>
      <w:r>
        <w:t>https://mcp.opencaselaw.ch/entscheid/ti_gerichte_32.2020.31</w:t>
      </w:r>
    </w:p>
    <w:p>
      <w:r>
        <w:t>FR: TI_GERICHTE 32.2020.31 du 29 janvier 2020</w:t>
      </w:r>
    </w:p>
    <w:p>
      <w:r>
        <w:t>IT: TI_GERICHTE 32.2020.31 del 29 gennaio 2020</w:t>
      </w:r>
    </w:p>
    <w:p>
      <w:pPr>
        <w:pStyle w:val="Heading2"/>
      </w:pPr>
      <w:r>
        <w:t>Regeste</w:t>
      </w:r>
    </w:p>
    <w:p>
      <w:r>
        <w:t>Perizia pluridisciplinare individua solo disturbi psichici.Il referto dello psichiatra curante prodotto con il ricorso è già stato valutato da perito e SMR.Discrepanze tra referti oggetivi e sintomi soggettivi.Non vi sono elementi oggettivi. No riformazione professionale per consulente integraz.prof</w:t>
      </w:r>
    </w:p>
    <w:p>
      <w:pPr>
        <w:pStyle w:val="Heading2"/>
      </w:pPr>
      <w:r>
        <w:t>Erwägungen</w:t>
      </w:r>
    </w:p>
    <w:p>
      <w:r>
        <w:rPr>
          <w:b/>
        </w:rPr>
        <w:t>E. 13</w:t>
      </w:r>
    </w:p>
    <w:p>
      <w:r>
        <w:t>dicembre 2019 (doc. B) reso dal dr. med. __________. Nella risposta l'Ufficio AI ha affermato che il predetto rapporto dello psichiatra curante era già stato esaminato dall'SMR in sede di osservazioni al progetto di decisione, secondo il quale esso non apportava nuovi elementi che rendevano necessaria una rivalutazione delle condizioni di salute dell'assicurata (doc. IV). 2.3.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Inoltre,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Sozialversicherungsrechts,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Con DTF 130 V 352 la nostra Massima Istanza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il Tribunale federale,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pronunciata: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 2.5.   In concreto la scrivente Corte evidenzia che le conclusioni tratte dal Servizio Medico Regionale il 15 novembre 2019, ribadite nelle annotazioni del 22 gennaio 2020 dello stesso dr. med. __________ anche dopo avere attentamente analizzato il nuovo certificato medico del dr. med. __________ prodotto con le osservazioni al progetto di decisione, danno un quadro chiaro, completo e non contraddittorio delle condizioni di salute della ricorrente. In effetti, l'SMR si è basato sul rapporto peritale del 12 novembre 2019 reso dal Servizio Accertamento Medico dopo che gli specialisti hanno valutato la ricorrente in ambito internistico, reumatologico, neurologico e psichiatrico. Tutti e quattro gli esperti hanno personalmente visitato l'assicurata e ne hanno esaminato lo stato di salute dopo avere considerato i disturbi soggettivi lamentati e gli esiti della loro osservazione oggettiva. Il neurologo ha pure effettuato un esame elettroneurografico, dal quale il nervo mediano destro è risultato normale, senza dunque elementi indicativi di un suo danno a livello del tunnel carpale. Soltanto la perita psichiatra ha riscontrato una patologia tale da influire sulla capacità lavorativa della ricorrente, seppure (solo) in ragione del 15%. Gli altri tre specialisti hanno infatti rilevato soltanto delle patologie senza ripercussione sulla capacità lavorativa, la più significativa delle quali era una fibromialgia, evidenziata chiaramente dal reumatologo secondo gli abituali criteri diagnostici (18 punti su 18), ma individuata anche dagli altri esperti intervenuti nella valutazione della ricorrente. Il dr. med. __________ ha indicato dei dolori diffusi e sensazioni disestetiche a tutto il corpo, tuttavia non spiegati da una patologia neurologica, come pure una possibile sindrome delle gambe irrequiete, ma entrambe queste diagnosi neurologiche non avevano influsso sulla capacità lavorativa. Il TCA osserva, inoltre, che tanto l'internista quanto il neurologo e la psichiatra, hanno evidenziato delle chiare discrepanze tra i sintomi soggettivi lamentati e i reperti clinici. Le dr.sse __________ e __________ hanno affermato che non v'era corrispondenza fra la terapia medicamentosa che l'assicurata ha dichiarato di assumere e quanto è risultato dai tassi ematici. Per la psichiatra, inoltre, le gravi limitazioni funzionali lamentate dall'interessata risultavano poco plausibili rispetto a quanto era stato possibile oggettivare all'esame psichico. Prevalevano fattori di ordine psicosociale, culturale e disadattivo rispetto ad elementi di origine puramente psicopatologico. Il neurologo ha da parte sua notato che i sintomi soggettivi riferiti come molto importanti erano invece risultati, all'esame oggettivo, assolutamente normali. Inoltre, per la psichiatra, una regolare assunzione di una terapia antidepressiva, in aggiunta a una iniziale ansiolisi e terapia ipnoinducente con benzodiazepine, poteva portare a un recupero completo della capacità lavorativa nell'arco di 6-8 mesi. A suo dire, poi, la riduzione del 15% della capacità lavorativa era già presente dal maggio 2017 e quindi anche quando il 15 febbraio 2018 la dr.ssa med. __________ ha peritato l'assicurata per conto dell'assicuratore malattia, il cui quadro che ha delinea-to era comunque in gran parte sovrapponibile a quello riscontrato dalla perita del SAM nel giugno 2019. Ai fini della concessione di una rendita di invalidità, determinante è qui osservare che né dal profilo internistico, né da quello reumatologico e neurologico è stata accertata una qualsivoglia incapacità lavorativa non solo nella precedente attività svolta dall'assicurata (operaia in fabbrica di orologi), ma neppure in altre attività adeguate al suo stato di salute. Soltanto in ambito psichiatrico è stata rilevata una lieve riduzione della flessibilità e della persistenza con lieve compromissione della capacità di fronteggiare uno stress riadattativo che ha portato la dr.ssa med. __________ a individuare una diminuzione del rendimento del 15% in qualsiasi attività, sia essa abituale o compatibile con il livello di competenze raggiunte e con la sua formazione aspecifica. Secondo il Tribunale, ciò contrasta indubbiamente con le dichiarazioni del dr. med. __________, dal settembre 2018 psichiatra curante della ricorrente, che il 13 dicembre 2019 ha invece sostenuto che essa presentava una totale incapacità lavorativa in presenza non solo di un disturbo somatoforme, ma anche di una sindrome ansioso-depressiva. Per un anno, a suo dire, lo stato psichico dell'assicurata non era migliorato in modo concreto da avere conseguenze sulla sua capacità lavorativa. Poi, da ottobre 2019 le condizioni psichiche sono apparse un poco migliorate, seppure persisteva sempre una ridotta tolleranza allo stress e tendenza all'isolamento sociale. Quest'ultimo elemento, però, d'avviso del TCA si scontra con la constatazione della perita psichiatra effettuata nel giugno 2019, secondo cui l'assicurata aveva un buon rapporto con il coniuge, continuava ad occuparsi dei figli e aveva buoni rapporti con le sorelle. Malgrado i vari disturbi somatici associati ad ansia espressi dall'interessata, la specialista ha tuttavia rilevato che oggettivamente si era in presenza di un mantenimento della strutturazione ed organizzazione della giornata e dell'abituale funzionamento relazionale che privilegiava l'ambito intrafamiliare. Inoltre, il Tribunale evidenzia che il dr. med. __________ non ha oggettivato le sue affermazioni e non ha fornito un quadro dettagliato delle condizioni di salute dell'assicurata. Al riguardo, il dr. med. __________ del Servizio Medico Regionale ha osservato che il trattamento medicamentoso in atto risultava ridotto a una sola pastiglia al giorno di Deanxit e che lo stesso curante ha riconosciuto che da pochi mesi era in atto un leggero miglioramento. Ciò porta a concludere che indipendentemente dall'affermazione del dottor __________ secondo cui " ella non è riuscita ad accettare alcun rinforzo della psicofarmacologia ", e che va relativizzata alla luce dell'obbligo della ricorrente di ridurre il danno e quindi di sottoporsi alle necessarie cure mediche per migliorare le sue condizioni di salute, la terapia farmacologica in essere non rispecchiava un grave stato psichico tale da renderla totalmente inabile al lavoro come dichiarato dal suo psichiatra. In merito alla valenza delle osservazioni del medico SMR occorre precisare che, benché egli non sia specialista in materia e quindi le sue dichiarazioni non hanno pieno valore probatorio (sul principio secondo cui la valutazione di medico non specialista in materia non può per giurisprudenza avere pieno valore probatorio, cfr. STF 9C_18/2010 del 7 ottobre 2010, consid. 5.3.2; STF 9C_53/2009 del 29 maggio 2009, consid. 4.2; fra le ultime: STCA 32.2019.200 del 16 giugno 2020; STCA 32.2018.220 del 21 ottobre 2019), il Tribunale non ha in specie motivo di discostarvisi, considerato che anche un medico internista, sulla scorta delle sue conoscenze di base in materia, è in grado di definire la non adeguatezza della terapia assunta dalla ricorrente rispetto alle severe patologie che lo psichiatra curante le ha diagnosticato e alle conseguenze che quest'ultimo ha valutato sulla sua capacità lavorativa. Per quanto concerne l'ambito lavorativo, i periti hanno spiegato chiaramente i motivi per cui si era in presenza di una piena capacità lavorativa in tutti gli ambiti specialistici analizzati, fatta salva una riduzione del rendimento del 15% per motivi psichici. Il TCA non ha pertanto motivo di distanziarsi dalle loro conclusioni, che peraltro sono state confermate dal Servizio Medico Regionale in due occasioni in sede amministrativa il 15 novembre 2019 e, dopo avere nuovamente analizzato l'intero caso dell'assicurata anche alla luce del più recente referto medico prodotto dall'interessata, il 22 gennaio 2020. Questa analisi non è stata contraddetta dalla ricorrente sulla base di certificati medici che hanno oggettivato il suo dissenso puramente soggettivo nei confronti della valutazione medica psichiatrica operata dall'Ufficio AI. Infatti, come visto, il certificato del 13 dicembre 2019 del dr. med. __________ non è in grado di contrastare le conclusioni peritali. Tuttavia, al riguardo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32.2019.177 del 2 giugno 2020). Tutto ben considerato, dunque, non vi sono elementi oggettivi tali per scostarsi dalle considerazioni e dalle conclusioni che i periti internisti, reumatologi, neurologi e psichiatri hanno tratto in merito alle condizioni di salute dell'assicurata, che il Servizio Medico Regionale ha avallato in due occasioni e che sono convincenti e vanno fatte proprie da questo Tribunale, non essendo state sufficientemente contestate dalla ricorrente, che non ha suffragato la sua tesi con dei validi certificati medici che attestano una situazione clinica peggiore, ma che si è limitata a contestare genericamente la perizia psichiatrica. In presenza di queste chiare e dettagliante spiegazioni, il TCA si allinea con serenità alle conclusioni tratte dai periti e dal medico del Servizio Medico Regionale, i quali hanno dunque esaminato attentamente le condizioni di salute dell'assicurata sia dal profilo somatico sia psichico, vagliandone l'anamnesi, tenendo conto dei dati soggettivi e dei riscontri oggettivi emersi dagli esami clinici e dalla documentazione medica raccolta e si sono ben confrontati con i pareri dei medici curanti agli atti. Di conseguenza, una nuova valutazione dello stato di salute dell'assicurata dal profilo psichico, così come da essa richiesta, non è dunque affatto necessaria. Infatti, si deve ritenere che la documentazione a disposizione del Tribunale è chiara e sufficiente per l'evasione della presente causa, senza che sia quindi utile l'esperimento di ulteriori accertamenti. La fattispecie risulta già adeguatamente accertata da un'esperta.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Il TCA deve pertanto concludere che i disturbi lamentati dalla ricorrente sono tali da cagionarle un'inabilità lavorativa del 15% dal maggio 2017 per motivi psichici. 2.6.   Per quanto concerne l' aspetto economico , poiché esso non è stato contestato come tale dall'assicurata (che si è limitata a chiedere genericamente la concessione di almeno un quarto di rendita sulla base di un'incapacità lavorativa maggiore a quella stabilita dal SAM e dall'SMR, ma non ha rimesso in discussione i parametri di calcolo utilizzati dall'amministrazione), ciò porta il Tribunale a non verificare oltre il grado di invalidità del 15% ritenuto dall'Ufficio AI in applicazione del metodo di raffronto dei redditi (art. 16 LPGA). 2.7.   Va da ultimo rilevato che la decisione del 29 gennaio 2020 ha indicato inoltre che non erano dati i presupposti per una riqualifica professionale dell'assicurata come pure per un aiuto al collocamento. Nella misura in cui l'Ufficio AI ha rifiutato il riconoscimento (anche) di provvedimenti d'integrazione , la decisione impugnata merita conferma (STCA 32.2017.194 del 28 settembre 2018; STCA 32.2017.62 del 26 ottobre 2017; STCA 32.2017.46 del 12 ottobre 2017; STCA 32.2016.122 del 10 maggio 2017), giacché l a soglia minima di diminuzione della capacità di guadagno conferente diritto a provvedimenti di riformazione professionale è del 20% (DTF 130 V 489 consid. 4.2; DTF 124 V 110 consid. 2b; STFA I 164/05 del 22 dicembre 2006 consid. 7; SVR 2010 IV Nr. 24; AHV Praxis 1997 pag. 80 consid. 1b). Con sentenza 9C_734/2010 del 18 maggio 2011 il Tribunale federale, in un caso in cui un'assicurata invalida al 40% (percentuale calcolata secondo il metodo misto: consid. A in fine) aveva chiesto di essere messa a beneficio di provvedimenti integrativi di natura professionale, ha affermato che: " (…) 6.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del ricorrente non entra in considerazione (STCA 32.2019.160 del 9 giugno 2020; STCA 32.2017.63 del 6 novembre 2017; STCA 32.2016.137 del 23 maggio 2017; STCA 32.2016.59 del 30 marzo 2017; STCA 32.2012.39 del 24 ottobre 2012; STCA 32.2011.143 del 21 novembre 2011). Infatti, il consulente in integrazione professionale, esperto in materia, ha affermato il 25 novembre 2019 (doc. 87) che " considerando l'età, il suo percorso professionale e la CL dell'85% sia in attività abituale che adeguata non si prende in considerazione una riformazione professionale. ". Egli ha altresì affermato, in relazione al servizio di collocamento previsto all'art. 18 LAI, che " Si reputa inoltre che le limitazioni dovute al danno alla salute non sono tali da rendere difficoltosa la ricerca di un posto di lavoro per il tramite dei normali canali di collocamento (URC, agenzia di collocamento) visto che può cercare lavoro nel suo campo professionale. ". 2.8. Sulla scorta di quanto precede, la pretesa dell'insorgente di riconoscerle una rendita di invalidità di almeno un quarto rispettivamente di annullare la decisione impugnata e di rinviare gli atti all’amministrazione per approfondire l'aspetto medico in ambito psichiatrico, non può essere accolta. Inoltre, nella misura in cui l'Ufficio AI ha rifiutato il riconoscimento (anche) di provvedimenti d'integrazione, la decisione impugnata merita conferma (STCA 32.2019.160 del 9 giugno 2020; STCA 32.2017.63 del 6 novembre 2017; STCA 32.2016.137 del 23 maggio 2017; STCA 32.2016.59 del 30 marzo 2017; STCA 32.2012.39 del 24 ottobre 2012; STCA 32.2012.69 del 20 agosto 2012; STCA 32.2011.143 e 32.2011.141 del 21 novembre 2011) e il ricorso va respinto anche su questo punto.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