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32.2020.27 vom 23. Januar 2020</w:t>
      </w:r>
    </w:p>
    <w:p>
      <w:r>
        <w:t>TI Tribunale d'appello, 2020-01-23, IT</w:t>
      </w:r>
    </w:p>
    <w:p>
      <w:r>
        <w:rPr>
          <w:b/>
        </w:rPr>
        <w:t xml:space="preserve">Quelle: </w:t>
      </w:r>
      <w:r>
        <w:t>https://mcp.opencaselaw.ch/entscheid/ti_gerichte_32.2020.27</w:t>
      </w:r>
    </w:p>
    <w:p>
      <w:r>
        <w:t>FR: TI_GERICHTE 32.2020.27 du 23 janvier 2020</w:t>
      </w:r>
    </w:p>
    <w:p>
      <w:r>
        <w:t>IT: TI_GERICHTE 32.2020.27 del 23 gennaio 2020</w:t>
      </w:r>
    </w:p>
    <w:p>
      <w:pPr>
        <w:pStyle w:val="Heading2"/>
      </w:pPr>
      <w:r>
        <w:t>Erwägungen</w:t>
      </w:r>
    </w:p>
    <w:p>
      <w:r>
        <w:rPr>
          <w:b/>
        </w:rPr>
        <w:t>E. 30</w:t>
      </w:r>
    </w:p>
    <w:p>
      <w:r>
        <w:t>giugno 2019 oppure, come da richiesta ricorsuale, se egli ha diritto ad una tale prestazione ininterrottamente dal 1° luglio 2017.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Trattandosi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in merito all’art.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di riconsiderazione (STFA I 8/04 del 12 ottobre 2005 pubblicata in Pladoyer 1/06, pag. 64). 2.4.   Nel caso in esame, a seguito della terza di domanda di prestazioni, con rapporto 27 maggio 2019 (doc. 176 inc. AI) il dr. __________ del SMR, esaminata la documentazione agli atti, ha proceduto la valutazione medico-teorica, tenendo in particolare conto della perizia 12 marzo 2019 del dr.med. Simoni eseguita per conto della __________ nell’ambito degli accertamenti medici susseguiti alla presa a carico dell’incidente della circolazione subito dall’assicurato in data 26 ottobre 1996. Nell’incidente egli ha subito un trauma all’arto superiore sinistro con lesione del plesso brachiale superiore e lesione della cuffia dei rotatori (doc. 158 inc. LAINF). Il medico SMR ha posto le seguenti diagnosi con ripercussione sulla capacità lavorativa: " (…) Esiti incidente della circolazione condizionante lesione del plesso brachiale e cuffia dei rotatori spalla sinistra trattata dapprima conservativamente poi con neurolisi del plesso brachiale (01.12.1998) e plastica cuffia rotatori. Attuale scompenso muscolare con pseudo-compressione recidiva del plesso brachiale sinistro. Sindrome toracale e sindrome lombosacrale su scoliosi a S italica con componente di rotazione, alterazioni al passaggio toracolombare con sovraccarico T12-L2 e appiattimento parziale della lordosi che si trasmette più basso da L3a nonché sacro acuto. (…)” (pag. 407 inc. AI) Il dr. med. __________ ha dettagliatamente indicato le limitazioni funzionali (cfr. pag. 408 inc. AI). Egli ha valutato un’inabilità del 100% in qualsiasi attività dal 1° luglio 2016, diminuita al 40% dal 1° aprile 2019. A tal riguardo nella perizia 12 maggio 2019 il dr. med. __________ aveva osservato: " (…) In questo contesto, a fronte dei postumi infortunistici, l’arto superiore sinistro deve essere utilizzato solo come arto d’appoggio tenendo presente che il paziente è impossibilitato ad abdurre, elevare od extra-rotare la spalla sinistra oltre i 30° e comunque senza forza. È possibile la flesso-estensione del gomito ma solo con pesi minimi (1 kg), non in maniera ripetitiva (1-2 flessione al minuto) ed evitando la pronazione del gomito/polso sinistro. Valutando lo stato del cingolo mero-scapolare sinistro, si può ritenere che il paziente sia inabile al lavoro ini misura del 40% per qualsivoglia attività adeguata alle sue possibilità ossia utilizzando quasi unicamente l’arto superiore destro. L’assicurazione Invalidità potrà eseguire una valutazione complessiva dello stato del paziente tenendo in considerazione anche la problematica cervicale e toracolombare. (…)” (sottolineatura del redattore; pag. 381 inc. LAINF) Con osservazioni 10 e 27 settembre 2019 al progetto di decisione 3 settembre 2019, l’assicurato ha prodotto diversa documentazione medica (doc. 185, e 190 inc. AI) che è stata esaminata dal dr. med. __________. Nelle annotazioni 15 novembre 2019 egli ha rilevato: " Dopo attenta valutazione di tutta la documentazione medica prodotta in questa fase di osservazioni al progetto nello specifico. - lettera ambulatoriale del Dr.med. __________ (20.08.2019) - valutazione ambulatoriale del Dr.med. __________ (29.0’7.2019) - elettroneuromiografia del 01.10.2019 (07.10.2019) - lettera ambulatoriale del Dr.med. __________ (16.10.2019) - lettera ambulatoriale del Dr.med. __________ (24.09.2019) - certificato medico Dr.ssa med. __________ (04.11.2019) - elettromiografia del PD Dr.ssa __________ (01.10.2019) Alla luce di questi certificati, non posso far altro che confermare integralmente il mio RAF-SR del 27.05.2019 in quanto si evince che il quadro clinico è consolidato e l’atrofia alla spalla sinistra attribuibile ad un disuso cronico (fecit esame elettromiografico e valutazione specialistica PD Dr.ssa med. __________) in assenza di altro danno strutturale oste tendineo oggettivabile (Rx ed RMN spalla sinistra che non reperta lesioni organiche, fecit lettere Dr.med. __________).” (pag. 463 inc. AI) Con il presente ricorso l’assicurato contesta la succitata valutazione medico-teorica, sostenendo un peggioramento della sua situazione di salute, allegando documentazione medica, in gran parte già esaminata dal SMR.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Va inoltre ricordato che per l’art. 59 cpv. 2bis LAI i servizi medici regionali sono a disposizione degli uffici AI per valutare le condizioni mediche del diritto alle prestazioni, stabiliscono la capacità funzionale dell'assicurato (determinante per l'AI secondo l'articolo 6 LPGA) di esercitare un'attività lucrativa o di svolgere le mansioni consuete in una misura ragionevolmente esigibile e sono indipendenti per quanto concerne le decisioni in ambito medico.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Nella fattispecie in esame questo Tribunale, chiamato a verificare se lo stato di salute dell’assicurato è stato accuratamente vagliato, non ha motivo per mettere in dubbio la valutazione medico-teorica del 27 maggio 2019 eseguita dal dr. med. __________, successivamente confermata il 15 novembre 2019. Né del resto il ricorrente ha prodotto documentazione idonea a modificare le conclusioni in merito alla residua capacità lavorativa. Come detto, l’insorgente sostiene un peggioramento, facendo riferimento al rapporto 20 agosto 2019 del dr. med. __________. In quel rapporto il Caposervizio dell’Unità di Chirurgia e Ortopedia all’Ospedale __________ di __________ rileva una riacutizzazione dei dolori cronici alla spalla sinistra in esiti di plessopatia brachiale postraumatica su incidente stradale del 1996, nonché una moderata artrosi acromio-claveare con tendinopatia del sovraspinato. Il citato sanitario fra l’altro evidenzia che “ da diversi mesi vi un ulteriore scompenso della mobilità articolare con apparizione di dolori nella parte anteriore, talvolta invalidanti ”. Lo specialista conclude che il paziente beneficerà di un artro TAC della spalla sinistra per valutare un’eventuale tendinopatia della cuffia dei rotatori, in particolare del sovraspinato (doc. G). Questo rapporto, come visto, è stato già valutato dal SMR nelle annotazioni 15 novembre 2019 e ritenuto, insieme all’altra documentazione prodotta in sede amministrativa, non apportante nuovi elementi medici. Certo, nel rapporto del dr. __________ è stata rilevata una recrudescenza della problematica alla spalla sinistra, ma non tale da ritenerla durevolmente invalidante. Del resto, le limitazioni elencate dal SMR nel rapporto 27 maggio 2019 tengono conto della problematica infortunistica. Pendente causa l’assicurato ha prodotto il certificato 17 marzo 2020 del dr. med. __________ del seguente tenore: " (…) È stata eseguita in data 19.02.2020 una visita specialistica oftalmologica e ortottica nel mio studio. L’acuità visiva con correzione per l’ipermetropia e l’astigmatismo permette di raggiungere un visus di 0.8 nell’occhio destro e 0.5 nel sinistro. Il summenzionato paziente presenta una exoforia marcata, con comparsa di una visione doppia, che crea notevoli disagi nelle attività da vicino e nella lettura rendendole impossibili se non per qualche istante.” (Doc. VIII/1) Il citato nuovo atto medico è stato valutato dal SMR con annotazioni 7 maggio 2020: " (…) Nello specifico lo specialista oftalmologo segnala il sintomo di “exoforia marcata” che tradotto indica un affaticamento della visione oculare dopo una prolungata visione da vicino, spesso poi descritta in letteratura scientifica come ben tollerata dopo una correzione idonea (lenti ed esercizi di ortottica). Si evince che il deficit visivo bilaterale (ipermetropia, astigmatismo con associata la exoforia), risulta tale da non modificare la presa di posizione SMR del 27.05.2019 e successive annotazioni SMR (15.11.2019 e 02.03.2020), seppure si tratti di una “nuova” diagnosi medica, non nota in precedente all’SMR, essa in primis non può di certo essere ricondotta nel suo sviluppo ad un evento acuto semmai ad andamento cronico già pre-esistente e non aggravato (ovvero non si tratta di una malattia oculare che si è sviluppata ad oggi all’improvviso ma ha avuto uno sviluppo ed una sua evoluzione cronica nel tempo) e secondo può dal lato medico assicurativo essere esclusa nella IL del 40% per tutte le attività, essendo la professione abituale di venditore possibile perché non specifica (imprescindibile) per un uso della visione binoculare da vicino costante, duratura e prolungata come per altre professioni (ex. Ricamo, laboratori dentistici, gioielleria, professioni con uso del TPC, tablet, ecc.).” (Doc. XII/1) Alla succitata valutazione del SMR non può che essere data adesione, trattandosi infatti di una problematica agli occhi che non incide sullo svolgimento non solo dell’abituale attività ma anche in gran parte in altre attività. A tal riguardo va ricordato che, gli assicurati che lamentano la perdita dell'acuità visiva di un occhio sono in grado di attendere alla maggior parte delle attività professionali, escluse quelle che richiedono una visione binoculare (STF I 222/06 del 10 luglio 2007 consid. 3 con riferimento a RAMI 1986 no. U 3 pag. 258 consid. 2b p. 260 seg.). Va poi ricordato che secondo l’esperienza medica, l’handicap risultante dalla perdita dell’acuità visiva di un occhio viene generalmente corretto in larga misura grazie all’assuefazione e all’adatta-mento dell’interessato e che solo raramente causa una diminuzione, peraltro minima, della capacità di guadagno. In circostanze normali e a condizione che l’assicurato dia prova della buona volontà da lui esigibile, l’adattamento alla situazione monoculare avviene in un periodo di tempo che, a seconda dell’età dell’infortunato, può variare da sei mesi a due anni al massimo (cfr., ad esempio, RAMI 1986 U3, p. 258ss.). Tale giurisprudenza è limitata a quelle attività che non richiedono esigenze visive elevate o una vista stereoscopica piena e non implicano la permanenza in situazioni esposte come tetti o ponteggi, l’utilizzazione di veicoli pericolosi o l’esecuzione di movimenti di precisione (cfr. STFA 27.7.1999 in re M. D. c. INSAI consid. 3b). La succitata giurisprudenza può essere applicata in via analogica al caso in esame, in cui l’assicurato, accusando la comparsa di una visione doppia non necessita di particolari esigenze visive per svolgere la sua abituale attività ed altre attività rispettose delle limitazioni fisiche esposte dal SMR. Ne consegue che, visto quanto sopra, tenuto conto delle valutazioni del SMR, alle quali va conferito valore probatorio (cfr. consid. 2.5),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il TCA ritiene dimostrato con il grado della verosimiglianza preponderante valido nell'ambito delle assicurazioni sociali (DTF 126 V 360; DTF 125 V 195 consid. 2 e i riferimenti ivi citati), che l’assicurato è inabile al 100% dal luglio 2016 al 31 marzo 2019, ma abile al 60% dal 1° aprile 2019 sia nella sua abituale attività lavorativa sia in attività adeguate. 2.7.   Occorre ora procedere alla graduazione dell’invalidità mediante il metodo ordinario (cfr. consid. 2.2), il cui calcolo è stato esposto nella decisione impugnata. 2.7.1.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l’Ufficio AI ha determinato il reddito da valido prendendo in considerazione il salario di fr. 50'700.-- che l’assicurato avrebbe potuto percepire nel 2018 senza il danno salute presso Manor SA, così come dichiarato dallo stesso ex datore di lavoro il 3 giugno 2019 (doc. 177 inc. AI). L’assicurato rileva di aver lavorato come impiegato di vendita all’__________ dal 2012 al 2013, con un salario mensile di fr. 5'200.--, corrispondente a fr. 62'400.-- annui, così come da lui stesso dichiarato nella domanda di prestazioni firmata il 29 agosto 2018 (doc. 123 inc. AI), il cui importo va considerato quale reddito da valido. Va qui rilevato che dopo l’infortunio del 1996 l’insorgente, terminato l’apprendistato quale venditore, ha lavorato al 100% nel settore della vendita presso __________ fino al 2008, attività ridotta dal settembre di quell’anno al 50% per motivi di salute (cfr. rapporto finale 26 aprile 2011 del SMR in doc. 100 inc. AI). Ha lavorato presso __________ fino al 2009 e nel “ 2011 inizia a lavorare per __________ nella misura del 50% come contratto ed a ore per la restante parte. Termina l’attività nel 2012 poiché si sono resi conto che certe attività non riusciva più a farle ” (rapporto 18 ottobre 2018 della Consulente IP, pag. 337 inc. AI). Di conseguenza, il danno è insorto nel settembre 2008, motivo per cui senza affezioni invalidanti verosimilmente l’assicurato avrebbe continuato a lavorare presso la __________. Pertanto, il dato salariale preso in considerazione dall’Ufficio AI è corretto. 2.7.2.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Il parallelismo dei redditi 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 In sostanza, nel parallelismo dei redditi il confronto va effettuato tra quanto effettivamente realizzato prima dell'evento assicurato e la media svizzera usuale nel settore specifico. Inoltre, il parallelismo dei redditi 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 Nel caso concreto, va rilevato che il salario ipotetico di fr. 50'700.-- quale addetto alla vendita presso il citato grande magazzino (cfr. consid. 2.7.1.) risulta essere inferiore al salario statistico relativo all’equivalente categoria “commercio al dettaglio” (no. 47) della Tabella TA1 2018_tirage_ skill level (NOGA 08), livello di competenze 1 (attività semplici di tipo fisico o manuale), uomini, di fr. 4’952.-- mensili (importo comprensivo già della tredicesima), pari a fr. 59’424.-- di salario annuo, senza tener conto della media (statistica) lavorativa settimanale. Pur trattandosi di una differenza maggiore del 5% tra il detto salario ipotetico e quello statistico, non vi è tuttavia spazio per applicare il parallelismo dei redditi. L’assicurato, dopo l’apprendistato iniziato nell’agosto 1999 presso __________ (cfr. doc. 30 inc. AI), è stato assunto nel settembre 2001 da quest’ultima (doc. 32 inc. 32). L’attività presso __________, come visto, è cessata nel 2009. Vi è pertanto motivo per ritenere che egli si sia accontentato di un simile salario, tenuto inoltre conto che nel 2011 ha cambiato datore di lavoro per una retribuzione maggiore (se raffrontata ad un pensum lavorativo del 100%). Per quel che concerne la determinazione del reddito da invalido, c onformemente alla citata giurisprudenza, l’Ufficio AI ha utilizzato i dati salariali forniti dalla tabella TA1 (stato 2016) elaborata dall'Ufficio federale di statistica e relativa ad una professione che presuppone qualifiche inferiori (categoria 1) nel settore privato svizzero (a proposito della rilevanza delle condizioni salariali nel settore privato, cfr. RAMI 2001 U 439, pagg. 347ss. e SVR 2002 UV 15, pagg. 47ss.), uomini, per un salario mensile di fr. 5'387.--. Riportando tale importo su 41.7 ore di durata media lavorativa settimanale, il dato statistico corrisponde a fr. 67'393,83 per un impiego a tempo pieno. Tenuto conto di una capacità lavorativa del 60%, di una riduzione totale del 20% per attività leggere ed altri fattori di riduzione, il reddito da invalido è stato quantificato in fr. 32'349.-- (cfr. rapporto 15 luglio 2019 della Consulente IP doc. 179 inc. AI). L’insorgente sostiene non adeguato “ un cambiamento di professione ritenuto che avrebbe ancora una importante capacità nella sua professione e in concreto l’ottenimento di un diverso lavoro appare estremamente difficile e del tutto improponibile “(ricorso punto no. 6). Orbene, tenuto conto che l’assicurato (nato il 15 ottobre 1979) al momento della decisione contestata non aveva ancora compiuto 41 anni, nonché delle limitazioni fisiche indicate nel rapporto 27 maggio 2019 del SMR (cfr. pag. 408 inc. AI), si può ritenere che egli possa svolgere tutte quelle attività presenti nel mercato occupazionale aperto a personale non qualificato o semi qualificato, dove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Del resto, nel citato rapporto 15 luglio 2019 la Consulente IP aveva indicato all’assicurato “ gli eventuali provvedimenti professionali al quale potrebbe aver diritto ”, ma che “l’assicurato non è d’accordo con la presa di posizione medica quindi al momento non è possibile attuare dei provvedimenti professionali atti a migliorare la sua capacità al guadagno (doc. 180 inc. AI). Di conseguenza, come visto, essa ha fatto riferimento ai dati statistici salari in attività semplici e ripetitive ritenute esigibili. In deroga al principio del raffronto dei redditi, la perdita di guadagno può essere stabilita direttamente in base all'incapacità di lavoro operando un confronto percentuale (“ Prozentvegleich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op. cit., n. 35 e seg. ad art. 28 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9C_310/2009 del 14 aprile 2010 consid. 3.2 e 8C_294/2008 del 2 dicembre 2008 consid. 6.4.1). Il caso in esame non rientra tuttavia nelle succitate ipotesi. Visto quanto sopra, richiamato l'obbligo che incombe all'assicurato di intraprendere tutto quanto sia ragionevolmente esigibile per ovviare alle conseguenze del discapito economico cagionato dal danno alla salute (DTF 123 V 233 consid. 3c; DTF 117 V 278 consid. 2b, 400 e i riferimenti ivi citati) - se necessario intraprendendo una nuova professione (DTF 113 V 28 consid. 4a e sentenze ivi citate) -, nel caso in esame l’assicurato può mettere a frutto al meglio la sua residua capacità lavorativa in attività adeguate, motivo per cui la determinazione del reddito da invalido eseguita dall’Ufficio AI va confermata. Ritenuto che dal 1° aprile 2019 l’assicurato non presenta più un grado d’invalidità pensionabile, rettamente l’Ufficio AI ha delimitato la rendita intera al</w:t>
      </w:r>
    </w:p>
    <w:p>
      <w:r>
        <w:rPr>
          <w:b/>
        </w:rPr>
        <w:t>E. 31</w:t>
      </w:r>
    </w:p>
    <w:p>
      <w:r>
        <w:t>giugno 2019 (tre mesi dal miglioramento ex art. 88a cpv. 2 OAI). Confermata la decisione contestata, il ricorso dev’essere respinto.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