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32.2020.2 vom 27. September 2019</w:t>
      </w:r>
    </w:p>
    <w:p>
      <w:r>
        <w:t>TI Tribunale d'appello, 2019-09-27, IT</w:t>
      </w:r>
    </w:p>
    <w:p>
      <w:r>
        <w:rPr>
          <w:b/>
        </w:rPr>
        <w:t xml:space="preserve">Quelle: </w:t>
      </w:r>
      <w:r>
        <w:t>https://mcp.opencaselaw.ch/entscheid/ti_gerichte_32.2020.2</w:t>
      </w:r>
    </w:p>
    <w:p>
      <w:r>
        <w:t>FR: TI_GERICHTE 32.2020.2 du 27 septembre 2019</w:t>
      </w:r>
    </w:p>
    <w:p>
      <w:r>
        <w:t>IT: TI_GERICHTE 32.2020.2 del 27 settembre 2019</w:t>
      </w:r>
    </w:p>
    <w:p>
      <w:pPr>
        <w:pStyle w:val="Heading2"/>
      </w:pPr>
      <w:r>
        <w:t>Erwägungen</w:t>
      </w:r>
    </w:p>
    <w:p>
      <w:r>
        <w:rPr>
          <w:b/>
        </w:rPr>
        <w:t>E. 15</w:t>
      </w:r>
    </w:p>
    <w:p>
      <w:r>
        <w:t>aprile 2010),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mezzi di prova che datano successivamente alla decisione di non entrata in materia devono essere sempre prodotti nellambito di una nuova domanda di prestazioni (rispettivamente di revisione).</w:t>
      </w:r>
    </w:p>
    <w:p>
      <w:r>
        <w:t>Stante quanto sopra, la documentazione medica prodotta (per la prima volta) nella procedura ricorsuale (doc. II-1, IX-1, IX-2) deve quindi essere trasmessa allUfficio AI affinché, dopo esame della stessa quale (ulteriore) nuova domanda, decida se vi sono gli estremi per lentrata in materia ai sensi dellart. 87 cpv. 2 e 3 OAI e, in caso affermativo, dopo istruzione della causa, si pronunci nel merito del peggioramento (non compete allo scrivente Tribunale pronunciarsi in prima istanza su una nuova domanda).</w:t>
      </w:r>
    </w:p>
    <w:p>
      <w:r>
        <w:t>2.7   Giusta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