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32.2020.152 vom 22. Oktober 2020</w:t>
      </w:r>
    </w:p>
    <w:p>
      <w:r>
        <w:t>TI Tribunale d'appello, 2020-10-22, IT</w:t>
      </w:r>
    </w:p>
    <w:p>
      <w:r>
        <w:rPr>
          <w:b/>
        </w:rPr>
        <w:t xml:space="preserve">Quelle: </w:t>
      </w:r>
      <w:r>
        <w:t>https://mcp.opencaselaw.ch/entscheid/ti_gerichte_32.2020.152</w:t>
      </w:r>
    </w:p>
    <w:p>
      <w:r>
        <w:t>FR: TI_GERICHTE 32.2020.152 du 22 octobre 2020</w:t>
      </w:r>
    </w:p>
    <w:p>
      <w:r>
        <w:t>IT: TI_GERICHTE 32.2020.152 del 22 ottobre 2020</w:t>
      </w:r>
    </w:p>
    <w:p>
      <w:pPr>
        <w:pStyle w:val="Heading2"/>
      </w:pPr>
      <w:r>
        <w:t>Erwägungen</w:t>
      </w:r>
    </w:p>
    <w:p>
      <w:r>
        <w:rPr>
          <w:b/>
        </w:rPr>
        <w:t>E. 4</w:t>
      </w:r>
    </w:p>
    <w:p>
      <w:r>
        <w:t>aprile 2016 pubblicata in DTF 142 V 178 ), emerge che il salario lordo mediamente percepito in quell'anno dalle donne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52’452.- (Fr. 4’371.- x 12 mesi). Questi dati si riferiscono, però, ad un tempo lavorativo di 40 ore alla settimana. Riportando queste cifre su un orario medio di lavoro settimanale nelle aziende di 41,7 ore computabili nel 2018 (cfr. per questo aspetto, STFA I 203/03 del 21 luglio 2003, consid. 4.4; vedi anche sentenza U 8/07 del 20 febbraio 2008 e la tabella: “ Durée normale du travail dans les entreprises selon la division économique ”), il salario lordo medio ipotetico nazionale da invalido per una donna ammonta a fr. 54'681.21 (fr. 52’452.- : 40 x 41,7), ritenuto che la quota di tredicesima è già compresa (STF U 274/98 del 18 febbraio 1999, consid. 3a). L’assicurata sostiene che occorre prendere in considerazione un salario da invalida calcolato sulla base di 160 ore al mese come l’ipotetico reddito da valida indicato nello scritto del 19 ottobre 2020 dal precedente datore di lavoro (pag. 526 incaro AI) e non di 41.7 ore a settimana. A torto. Infatti, per costante giurisprudenza, il salario da invalido va calcolato sulla base della media usuale del lavoro nelle imprese secondo la divisione economica come da tabella emanata dall’Ufficio federale di statistica (cfr. fra le tante: sentenza 8C_684/2017 del 4 aprile 2018, consid. 5.2 oltre alle già citate U 8/07 del 20 febbraio 2008 e I 203/03 del 21 luglio 2003, consid. 4.4) . Ella chiede inoltre di prendere in considerazione, in luogo del salario da invalida evinto dalla Tabella TA1, quello della Tabella TA7, poiché non ha ultimato alcuna formazione specifica e non ha esperienze particolari. Secondo la ricorrente, che fa riferimento ad una sentenza 8C_55/2020 (recte: 8C_66/2020) del 14 aprile 2020, il Tribunale federale ha già ritenuto applicabili altri parametri. In questa sentenza il Tribunale federale ha affermato: " (…) 4.2.2. Lorsque les tables 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arrêts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(arrêts 8C_471/2017 du 16 avril 2018 consid. 4.2 et 9C_237/2007 du 24 août 2007 consid. 5.1, non publié à l’ATF 133 V 545).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8C_625/2008 du 26 février 2009 consid. 3.2.1; 9C_237/2007 du 24 août 2007 consid. 5.1, non publié à l’ATF 133 V 545, et les références citées; voir aussi arrêt 9C_29/2012 du 27 juin 2012 consid. 4.2). C'est le lieu de préciser que les tables TA1, T1 et TA7 des ESS publiées jusqu'en 2010 correspondent respectivement aux tables TA1_skill_level, T1_tirage_skill_level et T17 des ESS publiées depuis 2012 (voir l'Annexe de la lettre circulaire AI n° 328 du 22 octobre 2014). 4.2.3. La correcte application des tables ESS, notamment le choix de la table et du niveau de compétence applicable, est une question de droit que le Tribunal fédéral revoit librement (ATF 143 V 295 consid. 2.4 p. 297; 132 V 393 consid. 3.3 p. 399).</w:t>
      </w:r>
    </w:p>
    <w:p>
      <w:r>
        <w:rPr>
          <w:b/>
        </w:rPr>
        <w:t>E. 4.2</w:t>
      </w:r>
    </w:p>
    <w:p>
      <w:r>
        <w:t>“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Tenuto conto del riserbo di cui deve dare prova il giudice delle assicurazioni sociali nel sostituire il proprio apprezzamento a quello dell’amministrazione (cfr. DTF 137 V 71, 132 V 393 consid. 3.3) , secondo il TCA la riduzione globale (cfr. sentenza 8C_80/2013 del 17 gennaio 2014 e sentenza 9C_211/2016 del 18 ottobre 2016 al consid. 6.2.1) del 10% applicata dall’UAI merita tutela poiché l’amministrazione non ha abusato del proprio potere di apprezzamento. Essa è infatti conforme a quanto giudicato dal Tribunale federale in altri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 Non vi è pertanto spazio per un’ulteriore riduzione del 5%, come richiesta dalla ricorrente, che non permetterebbe comunque all’assicurata di ottenere una rendita. Raffrontando il reddito da valida di fr. 36'399 con quello da invalida di fr. 54'681.21 , ridotto del 50% (incapacità lavorativa) a fr. 27'340.605 e di ulteriori 10% (riduzione sociale) a fr. 24'606.54, si ottiene un grado d’invalidità del 32.39%, arrotondato conformemente alla giurisprudenza (DTF 130 V 121) al 32% che non dà diritto ad alcuna rendita (art. 28 cpv. 2 LAI). Riducendo, per pura ipotesi di lavoro e come richiesto dall’insorgente, il salario da valida del 15%, in luogo del 10%, a fr. 23'239.51, si otterrebbe un grado d’invalidità del 36% che non darebbe comunque diritto ad alcuna rendita. In queste condizioni la decisione impugnata va confermata, mentre il ricorso deve essere respinto. 2.12.   Secondo l'art. 69 cpv. 1bis LAI nel tenore in vigore fino al 31 dicembre 2020 ed applicabile in concreto (cfr. anche disposizione transitoria dell’art. 83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dell'insorgente.</w:t>
      </w:r>
    </w:p>
    <w:p>
      <w:r>
        <w:rPr>
          <w:b/>
        </w:rPr>
        <w:t>E. 4.3</w:t>
      </w:r>
    </w:p>
    <w:p>
      <w:r>
        <w:t>Selon la jurisprudence rappelée plus haut (cf. consid. 4.2.2 supra), on peut, lorsqu'il s'agit de déterminer le revenu d'invalide sur la base des tables ESS, s'écarter de la table TA1 pour se référer à la table T17 - correspondant à la table TA7 des ESS publiées jusqu'en 2010 - si cela permet de fixer plus précisément le revenu d'invalide et que le secteur en question est adapté et exigible. Si cette jurisprudence a été développée pour le revenu d'invalide, rien n'empêche de l'appliquer mutatis mutandis à la détermination du revenu sans invalidité lorsque celui-ci doit exceptionnellement être déterminé sur la base des tables ESS (cf. arrêt l 168/05 du 24 avril 2006 consid. 3.3 et les références); en effet, le revenu sans invalidité doit être évalué de la manière la plus concrète possible (arrêt 8C_574/2019 du 28 février 2020 consid. 3 et les références). En l'espèce, le recours à la table T17, groupe 35 ("Techniciens/iennes de l'information et des communications"), se révèle approprié car il permet d'évaluer le revenu que l'intimé aurait réalisé sans l'accident, en tant qu'informaticien avec CFC, de manière plus concrète que la table TA1, branche 62-63 ("Activ. informatiques et services d'information"). Ce faisant, il y a lieu - contrairement à ce qu'a fait la cour cantonale - de retenir les chiffres ressortant de la table T17 elle-même (voir par exemple les arrêts 8C_350/2008 du 2 décembre 2008 consid. 2.4.3 et 8C_625/2008 du 26 février 2009 consid. 3.2.2), à savoir 6583 fr. (année 2014, groupe 35, total hommes, tous âges confondus). Ce montant, adapté à l'horaire moyen dans la branche en 2015, soit 41,3 heures par semaine (tableau "Durée normale du travail dans les entreprises selon la division économique", branches 62-63 "Activités informatiques et services d'information") et à l'évolution des salaires nominaux (0 %), conduit à fixer le revenu sans invalidité à 6797 fr. par mois ou soit à 81'564 fr. par année. En effet, dans la mesure où la table T17 indique le montant du revenu mensuel auquel peut prétendre un informaticien avec CFC - qui correspond précisément à la catégorie de technicien de l'information et des communications -, il est erroné de se référer à des chiffres ressortant d'une autre table. Cela d'autant plus que la table TA1 repose sur un système de niveaux de compétence par branches économiques alors que la table T17 repose sur un système de groupes de professions organisé selon des niveaux de compétence homogènes pour chaque grand groupe. (…)” Nel caso di specie non vi è alcun motivo per non applicare la Tabella TA1, come fatto dall’UAI. La ricorrente non indica le motivazioni per le quali occorrerebbe utilizzare la tabella TA7 (recte: T17), se non il fatto che non ha ultimato alcuna formazione specifica e che non ha accumulato esperienze professionali. Ora, la sua situazione corrisponde proprio a quanto previsto dalla tabella TA1 tirage_skill_level per un ' attività semplice di tipo fisico o manuale (ossia il livello 1 di competenze). Infatti, come già visto al consid. 2.8, all’assicurata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(cfr. STCA 32.2013.75 del 28 gennaio 2014 e STCA 32.2011.143 del 21 novembre 2011). Tali attività, come più volte stabilito sia dal Tribunale federale che da questo TCA, permettono di conseguire il reddito figurante nella tabella TA1 tirage_skill_level per un ' attività semplice di tipo fisico o manuale (ossia il livello 1 di competenze; cfr. STCA 32.2019.128 dell’8 maggio 2020; STCA 32.2019.157 del 25 maggio 2020). Eventuali limitazioni vanno semmai prese in considerazione nell’ambito della riduzione del salario da invalida (cfr. STCA 32.2019.157 del 25 maggio 2020). 2.11.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w:t>
      </w:r>
    </w:p>
    <w:p>
      <w:r>
        <w:rPr>
          <w:b/>
        </w:rPr>
        <w:t>E. 12</w:t>
      </w:r>
    </w:p>
    <w:p>
      <w:r>
        <w:t>giugno 2020, esaminati anche i referti del medico curante, dr. med. __________, FMH psichiatria e psicoterapia, del 6 agosto 2018 e del 7 settembre 2019 ed eseguito il raccordo anamnestico rispetto alla precedente perizia del __________ del 30 settembre 2016 della dr.ssa med. __________, FMH psichiatria e psicoterapia (pag. 284-297 incarto AI), ha spiegato nel dettaglio per quali ragioni ha posto la diagnosi di sindrome depressiva ricorrente episodio di media gravità ad andamento cronico (F33.1) e sindrome somatoforme da dolore persistente (F45.4).</w:t>
      </w:r>
    </w:p>
    <w:p>
      <w:r>
        <w:t>Il perito ha poi indicato i motivi per i quali ritiene la capacità lavorativa della ricorrente (50% in qualsiasi attività) superiore rispetto a quella accertata dal curante, dr. med. __________ (incapacità lavorativa totale), rilevando che occorre attenersi a quanto obiettivabile più che a quanto riferito.</w:t>
      </w:r>
    </w:p>
    <w:p>
      <w:r>
        <w:t>Il dr. med. __________ ha segnatamente affermato che anche se le diagnosi poste dal Dr. __________ e dal curante sono pienamente confermabili, si deve sottolineare come lassicurata presenti una percezione soggettiva di disfunzionameto più rilevante e come contemporaneamente ci siano segni che inducono a ritenere che la componente abulica e apatica non siano così rappresentate. Il quadro, pur coerente e consistente, non rende plausibile che una disfunzione al massimo moderata delle varie dimensioni indagate al Mini-ICF. Dopo aver descritto le risorse ed i deficit secondo lo schema Mini ICF-APP, lo specialista ha affermato che rispetto alla precedente perizia vi siano diverse aree maggiormente inficiate ed ha potuto stabilire che, a parte il periodo durante il quale linsorgente è stata ricoverata, il quadro clinico è poi rimasto sostanzialmente invariato e comporta una riduzione del rendimento del 50% in ogni attività.</w:t>
      </w:r>
    </w:p>
    <w:p>
      <w:r>
        <w:t>La presa di posizione del 20 novembre 2020 del medico curante, dr. med. __________, FMH psichiatria e psicoterapia, che conferma la totale incapacità lavorativa dellassicurata (doc. C), non è atta a sovvertire le convincenti e motivate conclusioni peritali.</w:t>
      </w:r>
    </w:p>
    <w:p>
      <w:r>
        <w:t>Il curante sostiene segnatamente che rispetto alla valutazione del __________, lentità del grado di disabilità indicato dal perito e derivante dallo schema Mini ICF-APP tende ad essere inferiore rispetto a quanto da lui rilevato. Secondo il dr. med. __________, ciò deriverebbe da una minore conoscenza della paziente che soltanto una presa a carico protratta nel tempo può permettere. Nel rapporto del 20 novembre 2020 descrive i gradi di disabilità, mettendo in evidenza le differenze rispetto a quanto accertato dal perito e contesta pure altre considerazioni contenute nel referto del 12 giugno 2020.</w:t>
      </w:r>
    </w:p>
    <w:p>
      <w:r>
        <w:t>Il dr. med. __________ ha tuttavia spiegato, sia nella perizia (segnatamente a pag. 511 e a pag. 512), sia nella presa di posizione del 3 dicembre 2020 (doc. VII/1), il motivo per il quale vi è una divergenza rispetto a quanto accertato dal curante. Il perito ha evidenziato come la percezione soggettiva del proprio funzionamento da parte dellassicurata è discrepante rispetto a quanto oggettivabile.</w:t>
      </w:r>
    </w:p>
    <w:p>
      <w:r>
        <w:t>Lo specialista ha rilevato che ad esempio il rallentamento motorio non era oggettivabile (ciò che, tra laltro, era già stato rilevato dai medici SMR, dr. med. __________, e dr. med. __________, in occasione della visita dell11 marzo 2019 [pag. 435 incarto AI]:[] non si apprezza un franco rallentamento psicomotorio []) e rispetto alla persistenza, anchegli ne ha sottolineato la discontinuità, ma ha sottolineato come la pervasività delle condotte di evitamento descritte non era tale da giustificare una compromissione media del contatto con gli altri.</w:t>
      </w:r>
    </w:p>
    <w:p>
      <w:r>
        <w:t>Non va del resto dimenticato come le conclusioni cui è giunto il perito del __________ non si distanziano molto da quanto era già stato accertato dai medici SMR, dr. med__________ e dr. med. __________, in occasione della, già citata, visita avvenuta l11 marzo 2019 (pag. 433-436 incarto AI). I medici, nel referto del 29 aprile 2019, hanno accertato che lassicurata era lucida, orientata nel tempo e nello spazio, latteggiamento era collaborante, la mimica e la gestica denotavano unansia moderata, ed erano assenti crisi di pianto. Non hanno rilevato un franco rallentamento psicomotorio.</w:t>
      </w:r>
    </w:p>
    <w:p>
      <w:r>
        <w:t>Il pensiero era coerente, i nessi associativi erano integri e mantenuti, non emergeva alcuna ideazione delirante, ma ruminazioni depressive riguardanti un senso di insicurezza, di pessimismo rispetto alla propria situazione e scarsa fiducia verso le terapie non avendo avuto miglioramenti oggettivi.</w:t>
      </w:r>
    </w:p>
    <w:p>
      <w:r>
        <w:t>Non erano presenti fobie, timori o sintomi di tipo ossessivo-compulsivo. Non risultava sospettosa verso gli altri con i quali manteneva un atteggiamento di buona collaborazione.</w:t>
      </w:r>
    </w:p>
    <w:p>
      <w:r>
        <w:t>La percezione era libera da fenomeni dispercettivi, non si apprezzavano disturbi della coscienza dellio, il tono dellumore appariva moderatamente deflesso e vi era una labilità affettiva ed una diminuzione della carica vitale e dellenergia di grado moderato, con fluttuazione della sintomatologia dolorosa durante la giornata.</w:t>
      </w:r>
    </w:p>
    <w:p>
      <w:r>
        <w:t>Non vi era un ritiro sociale assoluto, con rapporti adeguati mantenuti allinterno della famiglia. Non si apprezzava unideazione suicidale attiva o passiva e non erano riferiti atti di autolesionismo. Il sonno era disturbato da risvegli notturni, tuttavia leniti dalla medicazione assunta. Infine non aveva dato segni particolari di stanchezza e/o affaticamento durante il colloquio.</w:t>
      </w:r>
    </w:p>
    <w:p>
      <w:r>
        <w:t>Anche i medici SMR, dr. med. __________ e dr. med. __________, in seguito alla visita dell11 marzo 2019, avevano concluso per unincapacità lavorativa del 50% in ogni attività, rilevando un diverso apprezzamento rispetto al curante dovuto allosservazione di una quotidianità ancora discretamente gestita, una cura per sé stessa conservata così come il mantenimento di adeguati rapporti interpersonali che non giustificano uninabilità lavorativa completa in ogni attività (cfr. pag. 436 incarto AI).</w:t>
      </w:r>
    </w:p>
    <w:p>
      <w:r>
        <w:t>Non vi sono pertanto motivi per mettere in dubbio la perizia del dr. med. __________ del 12 giugno 2020.</w:t>
      </w:r>
    </w:p>
    <w:p>
      <w:r>
        <w:t>Quanto alla circostanza che il curante meglio conosce lassicurata, il perito rileva correttamente che ciò vale sempre ed in ogni caso in cui viene allestita una perizia, ma non è un motivo, da solo, per inficiarne il valore probatorio.</w:t>
      </w:r>
    </w:p>
    <w:p>
      <w:r>
        <w:t>Con sentenza 9C_757/2016 del 10 febbraio 2017 il Tribunale federale ha infatti rammentato, al consid. 4.2, che il fatto che il medico curante la segua da più tempo non è un criterio ritenuto dalla giurisprudenza per apprezzare il valore probatorio di un rapporto valetudinario (cfr. DTF 125 V 351 consid. 3b/aa pag. 352 con riferimenti) e che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t>Il TF ha inoltre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w:t>
      </w:r>
    </w:p>
    <w:p>
      <w:r>
        <w:t>2.7.   Alla luce di tutto quanto sopra esposto, questo Tribunale non ha alcun motivo per mettere in dubbio le conclusioni della perizia psichiatrica del __________ del 12 giugno 2020, il cui esito è stato confermato dal medico SMR, dr. med. __________.</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Va qui rammentato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In concreto, lUAI ha fatto capo alla valutazione della consulente in integrazione professionale del 7 giugno 2019 (pag. 443-445), facente seguito alla visita presso i medici SMR dell11 marzo 2019, giacché lincapacità lavorativa è stata confermata dalla perizia del 12 giugno 2020 del dr. med. __________ e le limitazioni sono rimaste le medesime (cfr. pag. 444 e 522 incarto AI). La consulente ha stabilito che nel caso specifico, oltre alle attività di operaia, per la quale lA. presenta esperienza lavorativa, sono considerate esigibili tutte quelle attività non qualificate, leggere, semplici, che rispettano i limiti funzionali della stessa. Trattasi di attività che non richiedono una preparazione professionale specifica ma che possono essere esercitate dopo una semplice introduzione sul posto di lavoro e un breve periodo dadeguamento, rappresentate nella categoria 4.2.</w:t>
      </w:r>
    </w:p>
    <w:p>
      <w:r>
        <w:t>Effettivamente allassicurata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w:t>
      </w:r>
    </w:p>
    <w:p>
      <w:r>
        <w:t>Occorre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Quanto poi allassenza di una formazione professionale, il TCA sottolinea di avere già più volte stabilito, in linea con la giurisprudenza federale, che anche degli assicurati privi di formazione (e in quel caso anche analfabeti), costretti ad abbandonare la loro originaria professione, di tipo manuale, a causa del danno alla salute, possono reperire sul mercato generale del lavoro unattivitàfisicamente leggera e che non presupponga particolari attitudini intellettuali (vedi, tra le altre, la STCA 32.2013.117 del 4 febbraio 2014, consid. 2.9 e riferimenti).</w:t>
      </w:r>
    </w:p>
    <w:p>
      <w:r>
        <w:t>Alla luce della suenunciata giurisprudenza questo Tribunale non ha motivo per sovvertire le valutazioni dei medici e della consulente in integrazione professionale che ha riassunto la formazione della ricorrente e, preso atto del rapporto del medico SMR, ha indicato le professioni esigibili dallassicurata.</w:t>
      </w:r>
    </w:p>
    <w:p>
      <w:r>
        <w:t>Va ora esaminato se lUAI ha calcolato correttamente il grado dinvalidità della ricorrente.</w:t>
      </w:r>
    </w:p>
    <w:p>
      <w:r>
        <w:t>2.9.Per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(sentenza 9C_297/2018 del 9 agosto 2018, consid. 3.2;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il precedente datore di lavoro dellassicurata ha indicato che la ricorrente, senza il danno alla salute, nel 2018 e nel 2019 avrebbe potuto conseguire un salario lordo annuo pari a fr. 36'399 per una media di 160 ore mensili di lavoro (pag. 526 incarto AI).</w:t>
      </w:r>
    </w:p>
    <w:p>
      <w:r>
        <w:t>2.10.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 questa sentenza il Tribunale federale ha affermato:</w:t>
      </w:r>
    </w:p>
    <w:p>
      <w:r>
        <w:t>4.2.2.Lorsque les tables 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arrêts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(arrêts 8C_471/2017 du 16 avril 2018 consid. 4.2 et 9C_237/2007 du 24 août 2007 consid. 5.1, non publié à lATF 133 V 545).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8C_625/2008 du 26 février 2009 consid. 3.2.1; 9C_237/2007 du 24 août 2007 consid. 5.1, non publié à lATF 133 V 545, et les références citées; voir aussi arrêt 9C_29/2012 du 27 juin 2012 consid. 4.2). C'est le lieu de préciser que les tables TA1, T1 et TA7 des ESS publiées jusqu'en 2010 correspondent respectivement aux tables TA1_skill_level, T1_tirage_skill_level et T17 des ESS publiées depuis 2012 (voir l'Annexe de la lettre circulaire AI n° 328 du 22 octobre 2014).</w:t>
      </w:r>
    </w:p>
    <w:p>
      <w:r>
        <w:t>4.2.3.La correcte application des tables ESS, notamment le choix de la table et du niveau de compétence applicable, est une question de droit que le Tribunal fédéral revoit librement (ATF 143 V 295 consid. 2.4 p. 297; 132 V 393 consid. 3.3 p. 399).</w:t>
      </w:r>
    </w:p>
    <w:p>
      <w:r>
        <w:t>4.3.Selon la jurisprudence rappelée plus haut (cf. consid. 4.2.2 supra), on peut, lorsqu'il s'agit de déterminer le revenu d'invalide sur la base des tables ESS, s'écarter de la table TA1 pour se référer à la table T17 - correspondant à la table TA7 des ESS publiées jusqu'en 2010 - si cela permet de fixer plus précisément le revenu d'invalide et que le secteur en question est adapté et exigible. Si cette jurisprudence a été développée pour le revenu d'invalide, rien n'empêche de l'appliquer mutatis mutandis à la détermination du revenu sans invalidité lorsque celui-ci doit exceptionnellement être déterminé sur la base des tables ESS (cf. arrêt l 168/05 du 24 avril 2006 consid. 3.3 et les références); en effet, le revenu sans invalidité doit être évalué de la manière la plus concrète possible (arrêt 8C_574/2019 du 28 février 2020 consid. 3 et les références). En l'espèce, le recours à la table T17, groupe 35 ("Techniciens/iennes de l'information et des communications"), se révèle approprié car il permet d'évaluer le revenu que l'intimé aurait réalisé sans l'accident, en tant qu'informaticien avec CFC, de manière plus concrète que la table TA1, branche 62-63 ("Activ. informatiques et services d'information").</w:t>
      </w:r>
    </w:p>
    <w:p>
      <w:r>
        <w:t>Ce faisant, il y a lieu - contrairement à ce qu'a fait la cour cantonale - de retenir les chiffres ressortant de la table T17 elle-même (voir par exemple les arrêts 8C_350/2008 du 2 décembre 2008 consid. 2.4.3 et 8C_625/2008 du 26 février 2009 consid. 3.2.2), à savoir 6583 fr. (année 2014, groupe 35, total hommes, tous âges confondus). Ce montant, adapté à l'horaire moyen dans la branche en 2015, soit 41,3 heures par semaine (tableau "Durée normale du travail dans les entreprises selon la division économique", branches 62-63 "Activités informatiques et services d'information") et à l'évolution des salaires nominaux (0 %), conduit à fixer le revenu sans invalidité à 6797 fr. par mois ou soit à 81'564 fr. par année.</w:t>
      </w:r>
    </w:p>
    <w:p>
      <w:r>
        <w:t>En effet, dans la mesure où la table T17 indique le montant du revenu mensuel auquel peut prétendre un informaticien avec CFC - qui correspond précisément à la catégorie de technicien de l'information et des communications -, il est erroné de se référer à des chiffres ressortant d'une autre table. Cela d'autant plus que la table TA1 repose sur un système de niveaux de compétence par branches économiques alors que la table T17 repose sur un système de groupes de professions organisé selon des niveaux de compétence homogènes pour chaque grand groupe.()</w:t>
      </w:r>
    </w:p>
    <w:p>
      <w:r>
        <w:t>Nel caso di specie non vi è alcun motivo per non applicare la Tabella TA1, come fatto dallUAI.</w:t>
      </w:r>
    </w:p>
    <w:p>
      <w:r>
        <w:t>La ricorrente non indica le motivazioni per le quali occorrerebbe utilizzare la tabella TA7 (recte: T17), se non il fatto che non ha ultimato alcuna formazione specifica e che non ha accumulato esperienze professionali.</w:t>
      </w:r>
    </w:p>
    <w:p>
      <w:r>
        <w:t>Ora, la sua situazione corrisponde proprio a quanto previsto dalla tabella TA1 tirage_skill_level per un'attività semplice di tipo fisico o manuale (ossia il livello 1 di competenze).</w:t>
      </w:r>
    </w:p>
    <w:p>
      <w:r>
        <w:t>Infatti, come già visto al consid. 2.8,allassicurata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(cfr. STCA 32.2013.75 del 28 gennaio 2014 e STCA 32.2011.143 del 21 novembre 2011).</w:t>
      </w:r>
    </w:p>
    <w:p>
      <w:r>
        <w:t>Tali attività, come più volte stabilito sia dal Tribunale federale che da questo TCA, permettono di conseguire il reddito figurante nella tabellaTA1 tirage_skill_level per un'attività semplice di tipo fisico o manuale (ossia il livello 1 di competenze; cfr. STCA 32.2019.128 dell8 maggio 2020; STCA 32.2019.157 del 25 maggio 2020). Eventuali limitazioni vanno semmai prese in considerazione nellambito della riduzione del salario da invalida (cfr. STCA 32.2019.157 del 25 maggio 2020).</w:t>
      </w:r>
    </w:p>
    <w:p>
      <w:r>
        <w:t>2.11.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consid.5b/bb p. 80; arrêt 9C_751/2011 du 30 avril 2012 consid. 4.2.1). []).</w:t>
      </w:r>
    </w:p>
    <w:p>
      <w:r>
        <w:t>Tenuto conto del riserbo di cui deve dare prova il giudice delle assicurazioni sociali nel sostituire il proprio apprezzamento a quello dellamministrazione (cfr. DTF 137 V 71, 132 V 393 consid. 3.3), secondo il TCA la riduzione globale (cfr. sentenza 8C_80/2013 del 17 gennaio 2014 e sentenza 9C_211/2016 del 18 ottobre 2016 al consid. 6.2.1) del 10% applicata dallUAI merita tutela poichélamministrazione non ha abusato del proprio potere di apprezzamento.</w:t>
      </w:r>
    </w:p>
    <w:p>
      <w:r>
        <w:t>Essa è infatti conforme a quanto giudicato dal Tribunale federale in altri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Non vi è pertanto spazio per unulteriore riduzione del 5%, come richiesta dalla ricorrente, che non permetterebbe comunque allassicurata di ottenere una rendita.</w:t>
      </w:r>
    </w:p>
    <w:p>
      <w:r>
        <w:t>Raffrontando il reddito da valida di fr. 36'399 con quello da invalida di fr.54'681.21, ridotto del 50% (incapacità lavorativa) a fr. 27'340.605 e di ulteriori 10% (riduzione sociale) a fr. 24'606.54, si ottiene un grado dinvalidità del 32.39%, arrotondato conformemente alla giurisprudenza (DTF 130 V 121) al 32% che non dà diritto ad alcuna rendita (art. 28 cpv. 2 LAI).</w:t>
      </w:r>
    </w:p>
    <w:p>
      <w:r>
        <w:t>Riducendo, per pura ipotesi di lavoro e come richiesto dallinsorgente, il salario da valida del 15%, in luogo del 10%, a fr. 23'239.51, si otterrebbe un grado dinvalidità del 36% che non darebbe comunque diritto ad alcuna rendita.</w:t>
      </w:r>
    </w:p>
    <w:p>
      <w:r>
        <w:t>In queste condizioni la decisione impugnata va confermata, mentre il ricorso deve essere respinto.</w:t>
      </w:r>
    </w:p>
    <w:p>
      <w:r>
        <w:t>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