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32.2020.151 vom 13. Oktober 2020</w:t>
      </w:r>
    </w:p>
    <w:p>
      <w:r>
        <w:t>TI Tribunale d'appello, 2020-10-13, IT</w:t>
      </w:r>
    </w:p>
    <w:p>
      <w:r>
        <w:rPr>
          <w:b/>
        </w:rPr>
        <w:t xml:space="preserve">Quelle: </w:t>
      </w:r>
      <w:r>
        <w:t>https://mcp.opencaselaw.ch/entscheid/ti_gerichte_32.2020.151</w:t>
      </w:r>
    </w:p>
    <w:p>
      <w:r>
        <w:t>FR: TI_GERICHTE 32.2020.151 du 13 octobre 2020</w:t>
      </w:r>
    </w:p>
    <w:p>
      <w:r>
        <w:t>IT: TI_GERICHTE 32.2020.151 del 13 ottobre 2020</w:t>
      </w:r>
    </w:p>
    <w:p>
      <w:pPr>
        <w:pStyle w:val="Heading2"/>
      </w:pPr>
      <w:r>
        <w:t>Volltext</w:t>
      </w:r>
    </w:p>
    <w:p>
      <w:r>
        <w:t>Raccomandata</w:t>
      </w:r>
    </w:p>
    <w:p>
      <w:r>
        <w:t>Incarto n.32.2020.151</w:t>
      </w:r>
    </w:p>
    <w:p>
      <w:r>
        <w:t>FC</w:t>
      </w:r>
    </w:p>
    <w:p>
      <w:r>
        <w:t>Lugano</w:t>
      </w:r>
    </w:p>
    <w:p>
      <w:r>
        <w:t>1° aprile 2021</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Francesca Cassina-Barzaghini, vicecancelliera</w:t>
      </w:r>
    </w:p>
    <w:p>
      <w:r>
        <w:t>segretario:</w:t>
      </w:r>
    </w:p>
    <w:p>
      <w:r>
        <w:t>Gianluca Menghetti</w:t>
      </w:r>
    </w:p>
    <w:p>
      <w:r>
        <w:t>statuendo sul ricorso dell11 novembre 2020 di</w:t>
      </w:r>
    </w:p>
    <w:p>
      <w:r>
        <w:t>RI 1</w:t>
      </w:r>
    </w:p>
    <w:p>
      <w:r>
        <w:t>contro</w:t>
      </w:r>
    </w:p>
    <w:p>
      <w:r>
        <w:t>la decisione del 13 ottobre 2020 emanata da</w:t>
      </w:r>
    </w:p>
    <w:p>
      <w:r>
        <w:t>Ufficio assicurazione invalidità,6501 Bellinzona</w:t>
      </w:r>
    </w:p>
    <w:p>
      <w:r>
        <w:t>in materia di assicurazione federale per l'invalidità</w:t>
      </w:r>
    </w:p>
    <w:p>
      <w:r>
        <w:t>ritenutoin fatto</w:t>
      </w:r>
    </w:p>
    <w:p>
      <w:r>
        <w:t>1.3.   Con tempestivo ricorso lassicurata, rappresentata da RA 1, psicologo, ha postulato lannullamento della decisione impugnata, contestando le conclusioni dellamministrazione in merito alla sua capacità lavorativa così come le conclusioni circa il grado di impedimento nellespletamento dei lavori domestici e chiedendo il riconoscimento di un grado dinvalidità di almeno l80% (doc. I).</w:t>
      </w:r>
    </w:p>
    <w:p>
      <w:r>
        <w:t>consideratoin diritto</w:t>
      </w:r>
    </w:p>
    <w:p>
      <w:r>
        <w:t>2.1.   Oggetto del contendere è sapere se a ragione lUfficio AI ha nuovamente negato allassicurata il diritto ad una rendita.</w:t>
      </w:r>
    </w:p>
    <w:p>
      <w:r>
        <w:t>2.2.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Basilea/Ginevra/Monaco di Baviera 2007, pag. 1411, n. 46).</w:t>
      </w:r>
    </w:p>
    <w:p>
      <w:r>
        <w:t>Giusta l'art. 28 cpv. 1 LAI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Al proposito va precisato che, secondo la giurisprudenza del Tribunale federale,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 I 600/01 del 26 giugno 2003, consid. 3.1; STF I 475/01 del 13 giugno 2003, consid. 4.1).</w:t>
      </w:r>
    </w:p>
    <w:p>
      <w:r>
        <w:t>2.3.   Se, però, un assicurato maggiorenne non esercitava un'attività lucrativa prima di essere invalido, l'applicazione nei suoi confronti del concetto di incapacità di guadagno non è possibile, poiché in simili condizioni l'invalidità non può cagionare una vera e propria perdita di guadagno. Ciò, in special modo, se non si può esigere da questi l'esercizio di una attività lucrativa.</w:t>
      </w:r>
    </w:p>
    <w:p>
      <w:r>
        <w:t>Per questo motivo l'art. 8 cpv. 3 LPGA (cfr. art. 5 LAI) parifica l'impedimento di svolgere le proprie mansioni consuete all'incapacità al guadagno (metodo specificodi calcolo dell'invalidità; SVR 1996 IV Nr. 76 consid. 1; RCC 1986 pag. 246 consid. 2b; DTF 104 V 136).</w:t>
      </w:r>
    </w:p>
    <w:p>
      <w:r>
        <w:t>In questo senso, l'art. 28a cpv. 2 LAI prevede che l'invalidità dell'assicurato che non esercita un'attività lucrativama svolge le mansioni consuete e dal quale non si può ragionevolmente esigere che intraprenda un'attività lucrativa è valutata, in deroga all'articolo 16 LPGA, in funzione dell'incapacità di svolgere le mansioni consuete.</w:t>
      </w:r>
    </w:p>
    <w:p>
      <w:r>
        <w:t>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w:t>
      </w:r>
    </w:p>
    <w:p>
      <w:r>
        <w:t>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w:t>
      </w:r>
    </w:p>
    <w:p>
      <w:r>
        <w:t>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w:t>
      </w:r>
    </w:p>
    <w:p>
      <w:r>
        <w:t>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w:t>
      </w:r>
    </w:p>
    <w:p>
      <w:r>
        <w:t>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w:t>
      </w:r>
    </w:p>
    <w:p>
      <w:r>
        <w:t>Nel nuovo tenore in vigore dal 1° gennaio 2018, lart. 27 cpv. 1 OAIprevede chepermansioni consuete secondo l'articolo 7 capoverso 2 LAI di assicurati occupati nell'economia domestica s'intendono gli usuali lavori domestici nonché la cura e l'assistenza ai familiari.</w:t>
      </w:r>
    </w:p>
    <w:p>
      <w:r>
        <w:t>Il nuovo art. 27 cpv. 2 OAI stabilisce che per mansioni consuete secondo l'articolo 7 capoverso 2 LAI di membri di comunità di religiosi s'intende ogni attività svolta nella comunità.</w:t>
      </w:r>
    </w:p>
    <w:p>
      <w:r>
        <w:t>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w:t>
      </w:r>
    </w:p>
    <w:p>
      <w:r>
        <w:t>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w:t>
      </w:r>
    </w:p>
    <w:p>
      <w:r>
        <w:t>Con la modifica dellOrdinanza sono state adeguate le attività nellambito delle mansioni consuete svolte dalle persone occupate nelleconomia domestica (cfr. Leuenberger  Maro, Changements dans la méthode mixte, in Sécurité sociale 1/2018 pag. 40 seg (45-46)).</w:t>
      </w:r>
    </w:p>
    <w:p>
      <w:r>
        <w:t>Le nuove norme dellOrdinanza hanno comportato la modifica della Circolaresullinvalidità e la grande invalidità nellassicurazione per linvalidità (CIGI) la quale, valida dal 1° gennaio 2015 e nella versione in vigore dal 1° gennaio 2018, ai NN. 3081 segg. spiega come deve procederelassistente sociale nella sua inchiesta domiciliare per calcolare il grado di invalidità in generale.</w:t>
      </w:r>
    </w:p>
    <w:p>
      <w:r>
        <w:t>Va infine rilevato che con lettera circolare AI n. 372 lUFAS ha rammentato che per tutte le prime richieste di prestazioni pendenti inoltrate prima del 1° luglio 2017, il diritto alla rendita fino al 31 dicembre 2017 verrà valutato in base al vecchio modello di calcolo e poi rivalutato in base al nuovo modello di calcolo con effetto dal 1° gennaio 2018.</w:t>
      </w:r>
    </w:p>
    <w:p>
      <w:r>
        <w:t>2.4.Nel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w:t>
      </w:r>
    </w:p>
    <w:p>
      <w:r>
        <w:t>Questo metodo di graduazione dell'invalidità (detto "metodo misto") è stato ancora una volta dichiarato conforme alla legge dal TF in DTF 125 V 146.</w:t>
      </w:r>
    </w:p>
    <w:p>
      <w:r>
        <w:t>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 I 276/05 del 24 aprile 2006, parzialmente pubblicata in Pladoyer 5/06 pag. 54 segg.; sentenza I 156/04 del 13 dicembre 2005, pubblicata in SVR 2006 IV Nr. 42 pag. 151 segg.).</w:t>
      </w:r>
    </w:p>
    <w:p>
      <w:r>
        <w:t>Questa giurisprudenza è stata ribadita ulteriormente nelle DTF 137 V 334, 133 V 504 e 133 V 477.</w:t>
      </w:r>
    </w:p>
    <w:p>
      <w:r>
        <w:t>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w:t>
      </w:r>
    </w:p>
    <w:p>
      <w:r>
        <w:t>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w:t>
      </w:r>
    </w:p>
    <w:p>
      <w:r>
        <w:t>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w:t>
      </w:r>
    </w:p>
    <w:p>
      <w:r>
        <w:t>Come detto, il 1. gennaio 2018 sono entrati in vigore gli articoli 27 e 27biscpv. 2-4 OAI nel loro nuovo tenore (cfr. RU N. 107 del 19 dicembre 2017, pagg. 7581-7582). Al riguardo, dal comunicato stampa del 1° dicembre 2017 dellUFAS intitolatoMaggiore equità nel calcolo del grado dinvalidità dei lavoratori a tempo parziale,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w:t>
      </w:r>
    </w:p>
    <w:p>
      <w:r>
        <w:t>2.5.   Al fine di determinare il metodo applicabile per stabilire l'eventuale invalidità, si deve anzitutto appurare se la persona esercitava o meno attività lucrativa immediatamente prima dell'insorgere dell'invalidità. Occorre in seguito verificare,fondandosi sulla globalità delle circostanze, se,ipoteticamente,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w:t>
      </w:r>
    </w:p>
    <w:p>
      <w:r>
        <w:t>Questa valutazione deve ugualmente prendere in considerazione la volontà ipotetica dellassicurato che, in quanto fatto interno, deve essere in regola generale dedotta da indizi esterni (STF 9C_64/2012 dell11 luglio 2012 consid. 5.2; STF I 693/06 del 20 dicembre 2006, consid. 4.1.).</w:t>
      </w:r>
    </w:p>
    <w:p>
      <w:r>
        <w:t>Va ancora rilevato che il metodo di calcolo non resta immutato. Ad ogni revisione si deve infatti accertare quale sarebbe stata l'attività esercitata dall'assicurato se non fosse stato invalido (SVR 1996 AI Nr. 76; DTF 117 V 195, 98 V 262; AJP 1994 pag. 784 segg.; STF del 24 marzo 1994 solo parzialmente pubblicata in DTF 120 V 150; Meyer/Reichmuth, op. cit., pagg. 312-313; Blanc, op. cit., pag. 190-191).</w:t>
      </w:r>
    </w:p>
    <w:p>
      <w:r>
        <w:t>Nella presente fattispecie, a seguito del rinvio statuito dal TCA e degli accertamenti effettuati, in base ai dati forniti dallassicurata, lUfficio AI ha considerato lassicurata salariata al 50% e casalinga al restante 50%, e ha quindi applicato il metodo misto per il calcolo del grado di invalidità.</w:t>
      </w:r>
    </w:p>
    <w:p>
      <w:r>
        <w:t>Tale suddivisione non è stata contestata dalla ricorrente e il TCA, alla luce dei dati agli atti ed in particolare del suo percorso professionale, non ravvisa alcuna ragione per scostarsi da tale riparto, non emergendo alcun elemento o indizio indicante una diversa quota di ripartizione.</w:t>
      </w:r>
    </w:p>
    <w:p>
      <w:r>
        <w:t>2.6.   Per quanto riguarda in particolare l'invalidità cagionata da un danno alla salute psichica, il TF ha stabilito che esso può portare ad uninvalidità se è di gravità tale da non poter praticamente esigere dall'assicurato di valersi della sua capacità lavorativa sul mercato del lavoro (cfr. DTF 127 V 298 consid. 4c). Al riguardo l'Alta Corte ha sottolineato che:</w:t>
      </w:r>
    </w:p>
    <w:p>
      <w:r>
        <w:t>"()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 (STF I 166/03 del 30 giugno 2004, consid. 3.2).</w:t>
      </w:r>
    </w:p>
    <w:p>
      <w:r>
        <w:t>Secondo la giurisprudenza del TF siffatti principi valgono fra l'altro per le psicopatie, le alterazioni dello sviluppo psichico (psychische Fehlentwicklungen), l'alcolismo, la farmacomania, la tossicomania e le nevrosi (STF I 441/99 del 18 ottobre 1999; STF I 148/98 del 29 settembre 1998, consid. 3b; RCC 1992 pag. 182 consid. 2a con riferimenti).</w:t>
      </w:r>
    </w:p>
    <w:p>
      <w:r>
        <w:t>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w:t>
      </w:r>
    </w:p>
    <w:p>
      <w:r>
        <w:t>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 254-257).</w:t>
      </w:r>
    </w:p>
    <w:p>
      <w:r>
        <w:t>Con una pronuncia del 16 dicembre 2004 (I 770/03), pubblicata in DTF 131 V 49, l'Alta Corte,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w:t>
      </w:r>
    </w:p>
    <w:p>
      <w:r>
        <w:t>"()</w:t>
      </w:r>
    </w:p>
    <w:p>
      <w:r>
        <w:t>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w:t>
      </w:r>
    </w:p>
    <w:p>
      <w:r>
        <w:t>In una sentenza 9C_492/2014 del 3 giugno 2015 pubblicata in DTF 141 V 281 il Tribunale federale ha modificato la propria giurisprudenza relativaalle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lapresunzionesecondo cui questi disturbi possono generalmente essere sormontati con uno sforzo di volontà ragionevolmente esigibile è stata abbandonata.</w:t>
      </w:r>
    </w:p>
    <w:p>
      <w:r>
        <w:t>Infine, in una sentenza del 30 novembre 2017 pubblicata in DTF 143 V 409,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medio-gravi(cfr. comunicato stampa del 14 dicembre 2017, in: www.bger.ch).</w:t>
      </w:r>
    </w:p>
    <w:p>
      <w:r>
        <w:t>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w:t>
      </w:r>
    </w:p>
    <w:p>
      <w:r>
        <w:t>Infine, val la pena ancora precisare che per la giurisprudenza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t>2.7.   Nella fattispecie, lUfficio AI, successivamente al rinvio stabilito dal TCA, ha incaricato il __________ di eseguire una perizia pluridisciplinare. Dal referto datato 1. aprile 2020 (doc. AI 49) risulta che il __________ ha fatto capo a consultazioni specialistiche esterne di natura reumatologica (dr. __________), neurologica (dr. __________), psichiatrica (dr. __________) e internistica (dr. __________). Sulla base delle risultanze dei singoli consulti e degli accertamenti eseguiti presso il citato centro daccertamento, i periti del __________ hanno posto le seguenti diagnosi:</w:t>
      </w:r>
    </w:p>
    <w:p>
      <w:r>
        <w:t>6.1 Diagnosi con influenza sulla capacità lavorativa:</w:t>
      </w:r>
    </w:p>
    <w:p>
      <w:r>
        <w:t>Diagnosi psichiatrica:</w:t>
      </w:r>
    </w:p>
    <w:p>
      <w:r>
        <w:t>sindrome da attacchi di panico (ICD-10; F 41.0).</w:t>
      </w:r>
    </w:p>
    <w:p>
      <w:r>
        <w:t>6.2 Diagnosi senza influenza sulla capacità lavorativa:</w:t>
      </w:r>
    </w:p>
    <w:p>
      <w:r>
        <w:t>Diagnosi reumatologiche:</w:t>
      </w:r>
    </w:p>
    <w:p>
      <w:r>
        <w:t>- fibromialgia di tipo primario;</w:t>
      </w:r>
    </w:p>
    <w:p>
      <w:r>
        <w:t>- sindrome cervico-vertebrale e toraco-lombo vertebrale su leggere alterazioni statiche e possibili alterazioni di tipo degenerativo;</w:t>
      </w:r>
    </w:p>
    <w:p>
      <w:r>
        <w:t>- stato dopo intervento chirurgico al gomito destro all'età di 40 anni per un'epicondilopatia radiale;</w:t>
      </w:r>
    </w:p>
    <w:p>
      <w:r>
        <w:t>iniziale poliartrosi delle dita delle mani;</w:t>
      </w:r>
    </w:p>
    <w:p>
      <w:r>
        <w:t>- periartropatia omero-scapolare tendinopatica alla spalla sinistra a carattere intercorrente.</w:t>
      </w:r>
    </w:p>
    <w:p>
      <w:r>
        <w:t>Diagnosi neurologiche:</w:t>
      </w:r>
    </w:p>
    <w:p>
      <w:r>
        <w:t>- stenosi asintomatica dell'arteria carotide interna destra di circa il 70-75%;</w:t>
      </w:r>
    </w:p>
    <w:p>
      <w:r>
        <w:t>- due episodi con verosimile aura visiva emicranica senza cefalea.</w:t>
      </w:r>
    </w:p>
    <w:p>
      <w:r>
        <w:t>Altre diagnosi internistiche:</w:t>
      </w:r>
    </w:p>
    <w:p>
      <w:r>
        <w:t>- nota dislipidemia in trattamento farmacologico; tabagismo cronico. (doc. AI 49, pag. 16-17)</w:t>
      </w:r>
    </w:p>
    <w:p>
      <w:r>
        <w:t>Riportate le singole conclusioni dei diversi specialisti, esclusa la valenza invalidante delle affezioni neurologiche, reumatologiche e internistiche, il __________ ha ritenuto data, a dipendenza delle sole problematiche psichiatriche, una capacità lavorativa del 70% nellattività da ultimo svolta, così come in ogni attività adeguata, a decorrere dal giugno 2016 (inizio della presa a carico psichiatrica). Come casalinga invece lassicurata era da considerare abile al 90%. Nessuna limitazione funzionale ascrivibile alle patologie somatiche è stata evidenziata, ma unicamente i limiti indicati dal perito psichiatra, il quale ha indicato che il corteo ascrivibile alle diagnosi sopraelencate interferisce sulla performance lavorativa, sulla capacità di sopportare lo stress e sui tempi di recupero, sulla costanza degli obiettivi da perseguire e sulla capacità di tradurre in atto i propri propositi, con riduzione della caricabilità psichica e della resistenza(doc. AI pag. 279).</w:t>
      </w:r>
    </w:p>
    <w:p>
      <w:r>
        <w:t>Queste conclusioni sono state confermate e avallate dal medico SMR nel Rapporto finale del 6 aprile 2020 (doc. AI 51).</w:t>
      </w:r>
    </w:p>
    <w:p>
      <w:r>
        <w:t>Fatta esperire uninchiesta economica per le persone che si occupano delleconomia domestica (cfr. rapporto del 27 luglio 2020, concludente per una limitazione complessiva del 23%, doc. AI 53), e interpellato il consulente professionale (doc. AI 58), lamministrazione ha quindi reso il progetto di decisione del 3 agosto 2020, con il quale, ammesse le suindicate inabilità lavorative e un grado di impedimento nelle faccende casalinghe del 23%, posta la quota parte di attività salariata del 50% e come casalinga del 50%, e quindi i gradi di invalidità parziale del 15%  rispettivamente 11.5%, ha concluso per un grado di invalidità totale del 27%, insufficiente per la concessione di una prestazione (doc. AI 57).</w:t>
      </w:r>
    </w:p>
    <w:p>
      <w:r>
        <w:t>In fase di osservazioni lassicurata ha fatto pervenire agli atti una certificazione del dr. __________, psichiatra, attestante la presenza di Sindrome Schizotipica F21(ICD-10) e Sindrome da Attacchi di panico, grave F41.01 (ICD10), e rilevando chenel corso degli anni il quadro psicopatologico si è cristallizzato con un "confinamento" quasi assoluto della paziente al suo domicilio, conun decadimento del quadro globale cognitivo con l'insorgenza di pensieri paranoidi, ruminazioni ossessive, eloquio scucito e con delle bizzarrie, sintomatologia che a suo avviso era inconciliabile con la possibilità di una reintegrazione nel mondo professionale (doc. AI 62). Lamministrazione ha sottoposto la certificazione al __________, il quale, mediante complemento peritale del 5 ottobre 2020, interpellato il perito psichiatra dr. __________, ha concluso chesulla base di quanto descritto sopra dal nostro consulente, la nuova documentazione non apporta elementi tali da modificare le conclusioni della perizia medica interdisciplinare datata 1.4.2020 effettuata presso il __________ di __________(doc. AI 66).</w:t>
      </w:r>
    </w:p>
    <w:p>
      <w:r>
        <w:t>Tale presa di posizione è stata pure condivisa dal SMR nellannotazione del 6 ottobre 2020 (per il quale come confermato dai periti con la loro presa di posizione del 06.10.2020, non sussistono elementi oggettivi che consentano di modificare la precedente presa di posizione dell'Ufficio, doc. AI 65), ragione per cui lUfficio AI, mediante la decisione contestata del 13 ottobre 2020, ha respinto la richiesta di prestazioni motivando come segue:</w:t>
      </w:r>
    </w:p>
    <w:p>
      <w:r>
        <w:t>"()</w:t>
      </w:r>
    </w:p>
    <w:p>
      <w:r>
        <w:t>Esito degli accertamenti:</w:t>
      </w:r>
    </w:p>
    <w:p>
      <w:r>
        <w:t>A seguito della Sentenza del Tribunale cantonale delle assicurazioni (TCA), datata 24 agosto 2018, abbiamo provveduto alla rivalutazione della sua richiesta di prestazioni Al inoltrata il 17 giugno 2016.</w:t>
      </w:r>
    </w:p>
    <w:p>
      <w:r>
        <w:t>Tenuto conto delle sue dichiarazioni la pratica viene trattata quale salariata al 50% e casalinga al 50%, non più come casalinga nella misura del 100%.</w:t>
      </w:r>
    </w:p>
    <w:p>
      <w:r>
        <w:t>Attività di salariata (50%):</w:t>
      </w:r>
    </w:p>
    <w:p>
      <w:r>
        <w:t>Abbiamo sottoposto la documentazione medica acquisita in fase d'istruttoria al nostro Servizio Medico Regionale (SMR). Quest'ultimo ritiene giustificato riconoscere i seguenti periodi d'inabilità lavorativa, con relative percentuali:</w:t>
      </w:r>
    </w:p>
    <w:p>
      <w:r>
        <w:t>Attività abituale:</w:t>
      </w:r>
    </w:p>
    <w:p>
      <w:r>
        <w:t>- 30% dal giugno 2016</w:t>
      </w:r>
    </w:p>
    <w:p>
      <w:r>
        <w:t>Attività adeguata:</w:t>
      </w:r>
    </w:p>
    <w:p>
      <w:r>
        <w:t>- 30% dal giugno 2016</w:t>
      </w:r>
    </w:p>
    <w:p>
      <w:r>
        <w:t>Visto che lei non avrebbe potuto meglio valorizzare la sua capacità lavorativa residua in attività alternative, si ritiene che alle inabilità lavorative succitate accertate nell'abituale professione corrisponda, dunque, un'incapacità lucrativa della medesima entità.</w:t>
      </w:r>
    </w:p>
    <w:p>
      <w:r>
        <w:t>Attività di casalinga (50%):</w:t>
      </w:r>
    </w:p>
    <w:p>
      <w:r>
        <w:t>Per quello che riguarda le limitazioni di casalinga facciamo riferimento all'inchiesta del 06 luglio 2020, dalla quale è emerso un impedimento pari al 23%.</w:t>
      </w:r>
    </w:p>
    <w:p>
      <w:r>
        <w:t>Attività             Quota parte Limitazione       Grado d'inv. parziale</w:t>
      </w:r>
    </w:p>
    <w:p>
      <w:r>
        <w:t>casalinga          50%                      23% 11.5%</w:t>
      </w:r>
    </w:p>
    <w:p>
      <w:r>
        <w:t>salariata            50% 30%                                  15%</w:t>
      </w:r>
    </w:p>
    <w:p>
      <w:r>
        <w:t>Grado d'invalidità26.5%&gt;27%</w:t>
      </w:r>
    </w:p>
    <w:p>
      <w:r>
        <w:t>La consulente in integrazione professionale non ritiene sia possibile attuare provvedimenti atti ad incrementare la capacità di guadagno, tuttavia, su esplicita richiesta scritta, si resta a disposizione per valutare leventuale diritto allaiuto al collocamento.</w:t>
      </w:r>
    </w:p>
    <w:p>
      <w:r>
        <w:t>Osservazioni al progetto:</w:t>
      </w:r>
    </w:p>
    <w:p>
      <w:r>
        <w:t>Abbiamo preso atto del suo scritto del 07 agosto 2020 e del rapporto medico del Dr. med. __________ datato 31 agosto 2020. Abbiamo provveduto a sottoporre la nuova documentazione all'attenzione del Servizio Medico Regionale (SMR), il quale ha richiesto un complemento peritale al __________. Tenuto conto di quanto sopra si conferma che non sussistono elementi oggettivi che consentano di modificare le precedenti prese di posizione. Il progetto del 03 agosto 2020 viene quindi confermato. (doc. AI 67)</w:t>
      </w:r>
    </w:p>
    <w:p>
      <w:r>
        <w:t>Di fronte al TCA lassicurata ha contestato queste conclusioni sulla base di una serie di argomentazioni formulate dal suo psicologo curante dr. __________, sulle quali si è espresso il __________ mediante complemento peritale del 4 dicembre 2020, confermando le conclusioni della perizia del 1. aprile 2020 (doc. VI). Analogamente si è espresso il __________ anche sulla nuova attestazione del 18 dicembre 2020 del dr. __________ prodotta agli atti (doc. VIII e XII; cfr. nel dettaglio al consid. 2.10).</w:t>
      </w:r>
    </w:p>
    <w:p>
      <w:r>
        <w:t>2.8.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2.9.IlTCA, chiamato a stabilirese, alla luce degli accertamenti effettuati a seguito del rinvio statuito con la STCA 32.2017.214, lUfficio AIabbia correttamenteemanato una nuova decisione di rifiuto delle prestazioni, tutto ben considerato, ritiene che lamministrazione a ragione ha concluso che la nuova documentazione medica acquisita non permetteva di oggettivare una diversa valutazione del caso.</w:t>
      </w:r>
    </w:p>
    <w:p>
      <w:r>
        <w:t>Per quanto riferito alle ripercussioni sula capacità lavorativa il perito ha indicato che il corteo ascrivibile alle diagnosi sopraelencate interferisce sulla performance lavorativa, sulla capacità di sopportare lo stress e sui tempi di recupero, sulla costanza degli obiettivi da perseguire e sulla capacità di tradurre in atto i propri propositi, con riduzione della caricabilità psichica e della resistenza(doc. AI pag. 279).</w:t>
      </w:r>
    </w:p>
    <w:p>
      <w:r>
        <w:t>() Nel corso degli anni il quadro psicopatologico si è cristallizzato con un "confinamento" quasi assoluto della paziente al suo domicilio. Gli attacchi di panico sono frequenti nella sua quotidianità e riducono fortemente le relazioni e gli scambi con la società. Ho potuto constatare un decadimento del quadro globale cognitivo con l'insorgenza di pensieri paranoidi, ruminazioni ossessive, eloquio scucito" e con delle bizzarrie.</w:t>
      </w:r>
    </w:p>
    <w:p>
      <w:r>
        <w:t>A mio avviso questo tipo di sintomatologia è inconciliabile con la possibilità di una reintegrazione nel mondo professionale. Purtroppo l'evoluzione e la prognosi risultano negative con un'inabilità lavorativa completa. La continuazione delle cure psichiatriche dovrebbe evitare delle ricadute ansioso-depressive e conseguenti ricoveri in ambito stazionario. (doc. AI 62)</w:t>
      </w:r>
    </w:p>
    <w:p>
      <w:r>
        <w:t>Il Dr. med. __________ nel suo rapporto medico del 22.9.2020 scrive:</w:t>
      </w:r>
    </w:p>
    <w:p>
      <w:r>
        <w:t>"in riferimento alla sua richiesta del I 5 settembre 2020, le confermo che la nuova documentazione fornita, non apporta nuove informazioni rilevanti, pertanto non modifica le conclusioni contenute nella perizia del mese di novembre 2019.</w:t>
      </w:r>
    </w:p>
    <w:p>
      <w:r>
        <w:t>In particolare la diagnosi di Sindrome schizotipica suggerita come nuovo elemento, era già stata ampiamente approfondita ed esclusa nella precedente valutazione; risulta dunque improbabile un 'insorgenza all'età di 61 anni.</w:t>
      </w:r>
    </w:p>
    <w:p>
      <w:r>
        <w:t>Inoltre nell'anamnesi non si rintraccia lo sviluppo tipico del disturbo schizotipico; nemmeno era stata mai diagnosticata in passato.</w:t>
      </w:r>
    </w:p>
    <w:p>
      <w:r>
        <w:t>Dunque non ravvisando nuovi elementi diagnostici, né cambiamenti farmacologici importanti (ricordo che l'A. assumeva solamente un trattamento farmacologico a base di Temesta), ritengo che non sussistano le condizioni per una rivalutazione a breve-medio termine."</w:t>
      </w:r>
    </w:p>
    <w:p>
      <w:r>
        <w:t>In conclusione, sulla base di quanto descritto sopra dal nostro consulente, la nuova documentazione non apporta elementi tali da modificare le conclusioni della perizia medica interdisciplinare datata 1.4.2020 effettuata presso il __________ di __________.(doc. AI 66)</w:t>
      </w:r>
    </w:p>
    <w:p>
      <w:r>
        <w:t>In particolare ribadisco che la diagnosi di Sindrome schizotipica suggeritacomenuovo elemento, era già stata ampiamente approfondita ed esclusa nella precedente valutazione; risulta dunque improbabile un'insorgenza all'età di 61 anni.</w:t>
      </w:r>
    </w:p>
    <w:p>
      <w:r>
        <w:t>Inoltre nell'anamnesi non si rintraccia lo sviluppo tipico del disturbo schizotipico; nemmeno era stata mai diagnosticata in passato.</w:t>
      </w:r>
    </w:p>
    <w:p>
      <w:r>
        <w:t>Supporre dei tratti di personalità patologici soggiacentidatempo non è sufficiente per porre una diagnosi allo stato attuale.</w:t>
      </w:r>
    </w:p>
    <w:p>
      <w:r>
        <w:t>Anche gli aspetti legati alla F41.0, soprattutto per ciò che concerne la gravità e la frequenza, in accordo con quanto scritto dallo psichiatra curante e dalle risultanze del mio esame, sono stati contemplati nella valutazione; evidentemente si giunge ad una ponderazionedellecapacità professionali differente.</w:t>
      </w:r>
    </w:p>
    <w:p>
      <w:r>
        <w:t>Dunque non ravvisando nuovi elementi psicopatologici, diagnostici, né cambiamenti farmacologici importanti (ricordo chel'A.assumeva solamente un trattamento farmacologico a base di temesta), ritengo che non sussistano le condizioni per una rivalutazione a breve-medio termine. (doc. VI/1)</w:t>
      </w:r>
    </w:p>
    <w:p>
      <w:r>
        <w:t>Del resto il perito del __________ ha con pertinenza osservato come il dr. __________ non segnalasse in sostanza alcun elemento psicopatologico, diagnostico nuovo né una modifica della farmacologia assunta allassicurata, alla quale lo psichiatra curante aveva prescritto unicamente del Temesta.</w:t>
      </w:r>
    </w:p>
    <w:p>
      <w:r>
        <w:t>Quanto alla censura riguardante la diagnosi da porre, e in particolare se sia data anche quella di sindrome schizotipica F21 ICD 10, come sostenuto dallo psicologo curante, questo TCA ritiene convincenti le argomentazioni esposte dal perito del __________, che ha peraltro sottolineato come tale ipotesi diagnostica fosse in ogni modo stata approfondita in occasione della perizia del 1. aprile 2020, non senza ricordare altresì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w:t>
      </w:r>
    </w:p>
    <w:p>
      <w:r>
        <w:t>Tramite il suo psicologo, l'insorgente si è quindi in sostanza limitata a contestare le conclusioni a cui sono giunti i periti del __________, e in particolare del perito psichiatra, nella perizia del 1. aprile 2020 che ha accertato una capacità lavorativa a suo dire non data. Ella non ha però saputo validamente comprovare le sue critiche e nemmeno un peggioramento dello stato di salute rispetto alla valutazione peritale. La ricorrente si è quindi in sostanza limitata ad esporre le proprie valutazionisoggettive, senza però che la documentazione agli atti possaoggettivamentesuffragare le sue sintomatologiesoggettivee contestare di conseguenza che la situazione dal punto di vistaclinico, ossiaoggettivo, sia differente.</w:t>
      </w:r>
    </w:p>
    <w:p>
      <w:r>
        <w:t>Vaosservato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argomentazioni.(DTF 122 V 158 consid. 1a, 121 V 210 consid. 6c con riferimenti).Non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caratteresoggettivoriguardo lo stato di salute e la conseguente capacità lavorativa (cfr. STCA 32.2018.165 del 13 marzo 2019, consid. 2.6 con riferimenti).</w:t>
      </w:r>
    </w:p>
    <w:p>
      <w:r>
        <w:t>2.12.   Per quanto concerne lattività dicasalinga, come è stato esposto, l'invalidità delle persone che si occupano (esclusivamente o parzialmente) dell'economia domestica, è stabilita confrontando le singole attività ancora accessibili al richiedente la rendita AI con i lavori che può eseguire una persona sana (cfr. consid. 2.3 e 2.4).</w:t>
      </w:r>
    </w:p>
    <w:p>
      <w:r>
        <w:t>2.12.1.   Nella Circolare sull'invalidità e la grande invalidità nell'assicurazione per l'invalidità (CIGI), nel tenore in vigore dal 1° gennaio 2018, l'UFAS ha previsto una ripartizione delle singole attività domestiche sulla base di un massimo - che nel caso concreto risultano essere stati rispettati - attribuibile a ciascuna di esse.</w:t>
      </w:r>
    </w:p>
    <w:p>
      <w:r>
        <w:t>In particolare la cifra 3087 CIGI prevede:</w:t>
      </w:r>
    </w:p>
    <w:p>
      <w:r>
        <w:t>Attività</w:t>
      </w:r>
    </w:p>
    <w:p>
      <w:r>
        <w:t>Massimo %</w:t>
      </w:r>
    </w:p>
    <w:p>
      <w:r>
        <w:t>1. Pasti (pulire/pelare/sbucciare, cucinare, apparec-</w:t>
      </w:r>
    </w:p>
    <w:p>
      <w:r>
        <w:t>chiare, effettuare la pulizia quotidiana della</w:t>
      </w:r>
    </w:p>
    <w:p>
      <w:r>
        <w:t>cucina, gestire le scorte)</w:t>
      </w:r>
    </w:p>
    <w:p>
      <w:r>
        <w:t>50</w:t>
      </w:r>
    </w:p>
    <w:p>
      <w:r>
        <w:t>2. Pulizia e ordinedellalloggio (riordinare, spol-</w:t>
      </w:r>
    </w:p>
    <w:p>
      <w:r>
        <w:t>verare, passare laspirapolvere, lavare i pavi-</w:t>
      </w:r>
    </w:p>
    <w:p>
      <w:r>
        <w:t>menti, pulire il bagno, cambiare le lenzuola, effet-</w:t>
      </w:r>
    </w:p>
    <w:p>
      <w:r>
        <w:t>tuare pulizie approfondite, curare le piante, il</w:t>
      </w:r>
    </w:p>
    <w:p>
      <w:r>
        <w:t>giardino e le aree adiacenti, eliminare i rifiuti) e</w:t>
      </w:r>
    </w:p>
    <w:p>
      <w:r>
        <w:t>cura di animali domestici</w:t>
      </w:r>
    </w:p>
    <w:p>
      <w:r>
        <w:t>40</w:t>
      </w:r>
    </w:p>
    <w:p>
      <w:r>
        <w:t>3. Acquisti(acquisti quotidiani e spesa settimana-</w:t>
      </w:r>
    </w:p>
    <w:p>
      <w:r>
        <w:t>le) e altre commissioni(posta, assicurazioni,</w:t>
      </w:r>
    </w:p>
    <w:p>
      <w:r>
        <w:t>uffici pubblici)</w:t>
      </w:r>
    </w:p>
    <w:p>
      <w:r>
        <w:t>10</w:t>
      </w:r>
    </w:p>
    <w:p>
      <w:r>
        <w:t>4. Bucato e cura dei vestiti</w:t>
      </w:r>
    </w:p>
    <w:p>
      <w:r>
        <w:t>(lavare, stendere e ritirare il bucato, stirare, ram-</w:t>
      </w:r>
    </w:p>
    <w:p>
      <w:r>
        <w:t>mendare, pulire le scarpe</w:t>
      </w:r>
    </w:p>
    <w:p>
      <w:r>
        <w:t>20</w:t>
      </w:r>
    </w:p>
    <w:p>
      <w:r>
        <w:t>5. Cura e assistenza ai figli e/o ai familiari*</w:t>
      </w:r>
    </w:p>
    <w:p>
      <w:r>
        <w:t>50</w:t>
      </w:r>
    </w:p>
    <w:p>
      <w:r>
        <w:t>Va poi rilevato che il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 I 102/00 del 22 agosto 2001, consid. 4). Un intervento da parte dell'autorità giudiziaria nell'apprezzamento della persona incaricata dell'inchiesta si giustifica unicamente nei casi in cui esso appaia chiaramente erroneo (DTF 128 V 93 consid. 4; STF I 681/02 dell11 agosto 2003 consid. 2).</w:t>
      </w:r>
    </w:p>
    <w:p>
      <w:r>
        <w:t>Il TF,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w:t>
      </w:r>
    </w:p>
    <w:p>
      <w:r>
        <w:t>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w:t>
      </w:r>
    </w:p>
    <w:p>
      <w:r>
        <w:t>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 I 681/02 dell11 agosto 2003 e I 685/02 del 28 febbraio 2003).Con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(cfr. STCA 32.2018.189 del 14 ottobre 2019, consid. 2.14).</w:t>
      </w:r>
    </w:p>
    <w:p>
      <w:r>
        <w:t>2.12.2.   In concreto, in sede della valutazione effettuata nellambito dellistruttoria che ha preceduto la resa della decisione del 13 novembre 2017, lassistente sociale, stabilita una ripartizione delle singole attività domestiche nel rispetto dei parametri di cui alle direttive CIGI (attribuendo un valore complessivo del 100% allinsieme dei lavori abituali dellassicurata nellambito delleconomia domestica) e fissati gli impedimenti di ogni singola mansione casalinga, nellinchiesta economica per le persone che si occupano delleconomia domestica del 30 gennaio/9 febbraio 2017 aveva stabilito una limitazione complessiva del 22%.</w:t>
      </w:r>
    </w:p>
    <w:p>
      <w:r>
        <w:t>Tali risultanze, fatte proprie dallamministrazione in sede della menzionata decisione di diniego, erano rimaste incontestate.</w:t>
      </w:r>
    </w:p>
    <w:p>
      <w:r>
        <w:t>A seguito del rinvio stabilito dal TCA con la pronuncia di rinvio del 24 agosto 2018, lamministrazione ha fatto esperire una nuova inchiesta economica per le persone che si occupano delleconomia domestica. Come espressamente precisato dallassistente sociale che si è occupata dellinchiesta, in tale nuova inchiesta è stata aggiornata la tabella di valutazione degli impedimenti in ambito domestico applicando i nuovi parametri indicati al marg. 3087 della CIGI applicabile dal 1. 2018 (doc. AI pag. 297). La stessa, eseguita il 6 luglio 2020 e sfociata nel rapporto del 27 luglio 2020, tenendo conto delle conclusioni esposte nella perizia del __________ del 1. aprile 2020 e nel rapporto finale del SMR del 6 aprile 2020 (che valutavano, dal profilo medico-teorico, la percentuale di impedimenti in ambito domestico nella misura del 10%; doc. AI 49 e 51) e riproducendo anche le constatazioni di cui alla precedente inchiesta domiciliare del 30 gennaio 2014, ha stabilito quanto segue (cfr. doc. AI 53):</w:t>
      </w:r>
    </w:p>
    <w:p>
      <w:r>
        <w:t>Pulire/pelare/sbuccia-re, cucinare, apparec- chiare, effettuare la  pulizia quotidiana della cucina, gestire le scorte</w:t>
      </w:r>
    </w:p>
    <w:p>
      <w:r>
        <w:t>importanza assegnata</w:t>
      </w:r>
    </w:p>
    <w:p>
      <w:r>
        <w:t>40%</w:t>
      </w:r>
    </w:p>
    <w:p>
      <w:r>
        <w:t>percentuale degli impedimenti</w:t>
      </w:r>
    </w:p>
    <w:p>
      <w:r>
        <w:t>20%</w:t>
      </w:r>
    </w:p>
    <w:p>
      <w:r>
        <w:t>percentuale di invalidità</w:t>
      </w:r>
    </w:p>
    <w:p>
      <w:r>
        <w:t>8%</w:t>
      </w:r>
    </w:p>
    <w:p>
      <w:r>
        <w:t>Riordinare, spolvera- re, passare laspira- polvere, lavare i pavi- menti, pulire il bagno, cambiare le lenzuola, effettuare pulizie ap- profondite, curare le piante, il giardino e le aree adiacenti, elimi- nare i rifiuti e cura di animali domestici</w:t>
      </w:r>
    </w:p>
    <w:p>
      <w:r>
        <w:t>importanza assegnata</w:t>
      </w:r>
    </w:p>
    <w:p>
      <w:r>
        <w:t>35%</w:t>
      </w:r>
    </w:p>
    <w:p>
      <w:r>
        <w:t>percentuale degli impedimenti</w:t>
      </w:r>
    </w:p>
    <w:p>
      <w:r>
        <w:t>20%</w:t>
      </w:r>
    </w:p>
    <w:p>
      <w:r>
        <w:t>percentuale di invalidità</w:t>
      </w:r>
    </w:p>
    <w:p>
      <w:r>
        <w:t>7%</w:t>
      </w:r>
    </w:p>
    <w:p>
      <w:r>
        <w:t>Acquisti quotidiani, spesa settimanale e posta, assicurazioni, uffici pubblici</w:t>
      </w:r>
    </w:p>
    <w:p>
      <w:r>
        <w:t>importanza assegnata</w:t>
      </w:r>
    </w:p>
    <w:p>
      <w:r>
        <w:t>10%</w:t>
      </w:r>
    </w:p>
    <w:p>
      <w:r>
        <w:t>percentuale degli impedimenti</w:t>
      </w:r>
    </w:p>
    <w:p>
      <w:r>
        <w:t>50%</w:t>
      </w:r>
    </w:p>
    <w:p>
      <w:r>
        <w:t>percentuale di invalidità</w:t>
      </w:r>
    </w:p>
    <w:p>
      <w:r>
        <w:t>5%</w:t>
      </w:r>
    </w:p>
    <w:p>
      <w:r>
        <w:t>Lavare, stendere e ritirare il bucato, stirare, rammendare, pulire le scarpe</w:t>
      </w:r>
    </w:p>
    <w:p>
      <w:r>
        <w:t>importanza assegnata</w:t>
      </w:r>
    </w:p>
    <w:p>
      <w:r>
        <w:t>15%</w:t>
      </w:r>
    </w:p>
    <w:p>
      <w:r>
        <w:t>percentuale degli impedimenti</w:t>
      </w:r>
    </w:p>
    <w:p>
      <w:r>
        <w:t>20%</w:t>
      </w:r>
    </w:p>
    <w:p>
      <w:r>
        <w:t>percentuale di invalidità</w:t>
      </w:r>
    </w:p>
    <w:p>
      <w:r>
        <w:t>3%</w:t>
      </w:r>
    </w:p>
    <w:p>
      <w:r>
        <w:t>Valutazione dell'assistente sociale</w:t>
      </w:r>
    </w:p>
    <w:p>
      <w:r>
        <w:t>totale delle attività</w:t>
      </w:r>
    </w:p>
    <w:p>
      <w:r>
        <w:t>100%</w:t>
      </w:r>
    </w:p>
    <w:p>
      <w:r>
        <w:t>percentuale di invalidità</w:t>
      </w:r>
    </w:p>
    <w:p>
      <w:r>
        <w:t>23%</w:t>
      </w:r>
    </w:p>
    <w:p>
      <w:r>
        <w:t>In queste condizioni, rettamente lUfficio AI ha (nuovamente) respinto la domanda di prestazioni.</w:t>
      </w:r>
    </w:p>
    <w:p>
      <w:r>
        <w:t>Ne consegue che la decisione contestata va confermata, mentre il ricorso è da respingere.</w:t>
      </w:r>
    </w:p>
    <w:p>
      <w:r>
        <w:t>2.14.   Secondo lart. 69 cpv. 1bis LAI, in vigore sino al 31 dicembre 2020 e applicabile nel caso di specie (cfr. art. 83 Disp. trans. LPGA),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Stante lesito della vertenza, le spese per complessivi fr. 500.-  sono poste a carico della ricorrente.</w:t>
      </w:r>
    </w:p>
    <w:p>
      <w:r>
        <w:t>Per questi motivi</w:t>
      </w:r>
    </w:p>
    <w:p>
      <w:r>
        <w:t>dichiara e pronuncia</w:t>
      </w:r>
    </w:p>
    <w:p>
      <w:r>
        <w:t>1.   Il ricorso èrespinto.</w:t>
      </w:r>
    </w:p>
    <w:p>
      <w:r>
        <w:t>2.   Le spese per complessivi fr. 500.-- sono a carico della ricorrente.</w:t>
      </w:r>
    </w:p>
    <w:p>
      <w:r>
        <w:t>3.   Comunicazione agli interessati i quali possono impugnare il presente giudizio con ricorso in materia di diritto pubblico alTribunale federale, Schweizerhofquai 6, 6004 Lucerna, entro 30 giorni dalla comunicazione.</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