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32.2020.133 vom 21. September 2020</w:t>
      </w:r>
    </w:p>
    <w:p>
      <w:r>
        <w:t>TI Tribunale d'appello, 2020-09-21, IT</w:t>
      </w:r>
    </w:p>
    <w:p>
      <w:r>
        <w:rPr>
          <w:b/>
        </w:rPr>
        <w:t xml:space="preserve">Quelle: </w:t>
      </w:r>
      <w:r>
        <w:t>https://mcp.opencaselaw.ch/entscheid/ti_gerichte_32.2020.133</w:t>
      </w:r>
    </w:p>
    <w:p>
      <w:r>
        <w:t>FR: TI_GERICHTE 32.2020.133 du 21 septembre 2020</w:t>
      </w:r>
    </w:p>
    <w:p>
      <w:r>
        <w:t>IT: TI_GERICHTE 32.2020.133 del 21 settembre 2020</w:t>
      </w:r>
    </w:p>
    <w:p>
      <w:pPr>
        <w:pStyle w:val="Heading2"/>
      </w:pPr>
      <w:r>
        <w:t>Erwägungen</w:t>
      </w:r>
    </w:p>
    <w:p>
      <w:r>
        <w:rPr>
          <w:b/>
        </w:rPr>
        <w:t>E. 27</w:t>
      </w:r>
    </w:p>
    <w:p>
      <w:r>
        <w:t>cpv. 1 prima frase OAI, nel tenore in vigore fino al 31 dicembre 2017, precisava che per mansioni consuete di una persona senza attività lucrativa occupata nell'economia domestica s'intendono in particolare gli usuali lavori domestici, l'educazione dei figli nonché le attività artistiche e di pubblica utilità.</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religiosi s'intende ogni attività svolta nella comunità.</w:t>
      </w:r>
    </w:p>
    <w:p>
      <w:r>
        <w:t>Con la modifica dellOrdinanza sono state adeguate le attività nellambito delle mansioni consuete svolte dalle persone occupate nelleconomia domestica (cfr. R. Leuenberger - G. Mauro, Changements dans la méthode mixte, in Sécurité sociale 1/2018 pag. 40 segg. (45-46)).</w:t>
      </w:r>
    </w:p>
    <w:p>
      <w:r>
        <w:t>Come emerge dalle spiegazioni pubblicate dallUfficio federale delle assicurazioni sociali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diritti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w:t>
      </w:r>
    </w:p>
    <w:p>
      <w:r>
        <w:t>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2.3.   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ulteriormente nelle DTF 137 V 334, DTF 133 V 504 e DTF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Uneventuale ridotta capacità nell'ambito professionale o dell'adempimento delle mansioni consuete (secondo l'art. 27 OAI) in seguito a maggiori sforzi compiuti nell'altro settore d'attività va tuttavia presa in considerazione solo a determinate condizioni.</w:t>
      </w:r>
    </w:p>
    <w:p>
      <w:r>
        <w:t>Ricordato che ilmetodo mistoè previsto per le persone che esercitano unattività lucrativa e che oltre a questa conducono uneconomia domestica o svolgono altre mansioni ai sensi dellart. 8 cpv. 3 LPGA,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ilmetodo ordinario(DTF 131 V 51).</w:t>
      </w:r>
    </w:p>
    <w:p>
      <w:r>
        <w:t>Chiamata a pronunciarsi in un caso in cui si trattava di valutarel'invalidità per gli assicurati che esercitano un'attività lucrativa a tempo parziale senza consacrare il loro tempo libero allo svolgimento delle mansioni consuete, lAlta Corte,nella DTF 142 V 290, ha stabilito chela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w:t>
      </w:r>
    </w:p>
    <w:p>
      <w:r>
        <w:t>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9C_671/2017 del 12 luglio 2018 consid. 3.2.1 con riferimenti).</w:t>
      </w:r>
    </w:p>
    <w:p>
      <w:r>
        <w:t>Infine va fatto presente che, oltre allart. 27 OAI, anche lart. 27bis cpv. 2 - 4 OAI è stato modificato con effetto dal 1° gennaio 2018. In particolare, conformemente allart. 27bis cpv. 3 lett. a OAI, è stato introdotto un nuovo modello di calcolo.</w:t>
      </w:r>
    </w:p>
    <w:p>
      <w:r>
        <w:t>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2.4.   Al fine di determinare il metodo applicabile per stabilire l'eventuale invalidità, si deve anzitutto appurare se la persona esercitava o meno attività lucrativa immediatamente prima dell'insorgere dell'invalidità. Occorre in seguito verificare,fondandosi sulla globalità delle circostanze, se,ipoteticamente, in assenza del danno alla salute, l'assicurato avrebbe o meno esercitato un'attività lavorativa.</w:t>
      </w:r>
    </w:p>
    <w:p>
      <w:r>
        <w:t>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w:t>
      </w:r>
    </w:p>
    <w:p>
      <w:r>
        <w:t>Da considerare sono tutte le circostanze del caso concreto, segnatamente le condizioni finanziarie, familiari, l'età dell'assicurato, la sua situazione professionale, le affinità e la personalità dell'assicurato.</w:t>
      </w:r>
    </w:p>
    <w:p>
      <w:r>
        <w:t>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w:t>
      </w:r>
    </w:p>
    <w:p>
      <w:r>
        <w:t>Innanzitutto, va ribadito che al fine di determinare il metodo applicabile, si deve stabilire se la persona assicurata esercitava o meno unattività lavorativa prima dellinsorgere dellinvalidità. Poi, fondandosi sulla globalità delle circostanze, va verificato se ipoteticamente, in assenza del danno alla salute, avrebbe o meno esercitato unattività lavorativa.</w:t>
      </w:r>
    </w:p>
    <w:p>
      <w:r>
        <w:t>In concreto, dagli atti emerge che nellambito della prima domanda dell8 gennaio 2009, inoltrata a causa del sorgere di un carcinoma mammario, e sfociata nel riconoscimento di una rendita intera limitata nel tempo (dal 1° luglio 2009 al 31 gennaio 2010), la ricorrente, di formazione venditrice e che aveva lavorato da ultimo presso la __________ fino alla nascita della figlia nel 1999, aveva indicato di essere stata attiva nellambito della vendita delle cartelle delle tombole nel 2006 (cfr. anche pag. 42 incarto AI), di essere casalinga ed al beneficio di prestazioni assistenziali (pag. 16-17 incarto AI).</w:t>
      </w:r>
    </w:p>
    <w:p>
      <w:r>
        <w:t>Con la decisione del 4 novembre 2009 lUAI ha posto lassicurata al beneficio di una rendita limitata nel tempo, indicando che senza il danno alla salute avrebbe svolto unattività lavorativa a tempo pieno e per questo motivo è stata valutata come salariata (cfr. doc. 32, pag. 75 incarto AI). Ciò, poiché aveva lavorato fino al 1999, ossia alla nascita della figlia (cfr. pag. 151 incarto AI).</w:t>
      </w:r>
    </w:p>
    <w:p>
      <w:r>
        <w:t>Nella seconda domanda di prestazioni, datata 27 settembre 2019, la ricorrente ha precisato di essere casalinga dal 1° gennaio 2000 e di effettuare lavori saltuari con contratto. Ella ha indicato: ultimo lavoro giugno 1999 c/o __________ (pag. 83 incarto AI; cfr. anche pag. 151 incarto AI).</w:t>
      </w:r>
    </w:p>
    <w:p>
      <w:r>
        <w:t>Dallestratto conto individuale emerge che linsorgente dal 2010 è affiliata quale persona senza attività lucrativa e dal 2014 percepisce un reddito annuo da attività dipendente di circa fr 6'400 (pag. 111 incarto AI), per lattività di custode che svolge dal 1° luglio di quellanno (cfr. pag. 151 incarto AI). Ella lavora circa 5 ore a settimana, suddivise in base ai periodi e alle necessità (pag. 135 incarto AI). Dagli atti si vince inoltre che dalla prima registrazione nel conto individuale della ricorrente, nel 1984, il reddito più elevato è stato conseguito nel 1990 ed è pari a fr. 29'699 (pag. 222 incarto AI).</w:t>
      </w:r>
    </w:p>
    <w:p>
      <w:r>
        <w:t>Nella perizia psichiatrica del 26 maggio 2020 della dr.ssa med. __________, specialista FMH psichiatria e psicoterapia, figura che linteressata dalla nascita della figlia, nel 1999, non ha più lavorato (pag. 179 incarto AI) e che ha iniziato nel 2017 una presa a carico psichiatrica e psicoterapeutica, interrotta dopo circa un anno.</w:t>
      </w:r>
    </w:p>
    <w:p>
      <w:r>
        <w:t>Alla luce della documentazione agli atti occorre pertanto concludere che prima del danno alla salute, e meglio dellincapacità lavorativa totale nella precedente attività di custode (cfr. pag. 188 incarto AI) e dell80% in attività adatte, iniziata dal 4 luglio 2019 (cfr. rapporto SMR del 9 giugno 2020, doc. 59, pag. 188 incarto AI), la ricorrente svolgeva unicamente lattività lavorativa di custode al 12% e per il restante 88% lattività di casalinga.</w:t>
      </w:r>
    </w:p>
    <w:p>
      <w:r>
        <w:t>Agli atti non vi è alcun indizio che possa far ritenere che senza il danno alla salute, dopo tale data, linteressata avrebbe svolto unattività lavorativa in una percentuale maggiore.</w:t>
      </w:r>
    </w:p>
    <w:p>
      <w:r>
        <w:t>La ricorrente, che dal 1° luglio 2014 lavora come custode/portinaia della __________ di __________ nella misura di 5 ore a settimana circa, che nella domanda di prestazioni ha indicato di essere casalinga e di svolgere lavori saltuari, non ha prodotto alcuna prova relativa ad eventuali ricerche di lavoro non andate a buon fine o richieste di indennità giornaliere dellassicurazione contro la disoccupazione.</w:t>
      </w:r>
    </w:p>
    <w:p>
      <w:r>
        <w:t>La sua situazione economica precaria non ha inoltre subito cambiamenti particolari negli ultimi tempi e la figlia, nata nel 1999, nel 2019 era ormai maggiorenne già da due anni.</w:t>
      </w:r>
    </w:p>
    <w:p>
      <w:r>
        <w:t>Non vi è pertanto alcun motivo per ritenere che linsorgente, da luglio 2019, avrebbe svolto unattività lavorativa in misura maggiore rispetto a quella già esercitata se non fosse sorto il danno alla salute.</w:t>
      </w:r>
    </w:p>
    <w:p>
      <w:r>
        <w:t>Quanto alla circostanza che nella precedente procedura era stata considerata salariata, va rammentato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w:t>
      </w:r>
    </w:p>
    <w:p>
      <w:r>
        <w:t>In queste condizioni questo Tribunale deve concludere, in applicazione del principio della verosimiglianza preponderante abitualmente applicato nel settore delle assicurazioni sociali (DTF 138 V 218 consid. 6 con riferimenti), che lassicurata, senza il danno alla salute, non avrebbe aumentato il grado di attività lavorativa.</w:t>
      </w:r>
    </w:p>
    <w:p>
      <w:r>
        <w:t>La ripartizione effettuata dallUAI va di conseguenza confermata.</w:t>
      </w:r>
    </w:p>
    <w:p>
      <w:r>
        <w:t>2.8.   Secondo l'art. 69 cpv. 1bis LAI nel tenore in vigore fino al 31 dicembre 2020 ed applicabile in concreto (cfr. disposizione transitoria, art. 83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Nel caso di specie, visto lesito del ricorso, le spese per fr. 500.--, vanno messe a carico della ricorrente.</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Va da sé che nel caso in esame non occorre esaminare il presupposto della necessità dellintervento dellavvocato, linsorgente non essendo patrocinata da un legale.</w:t>
      </w:r>
    </w:p>
    <w:p>
      <w:r>
        <w:t>Nel caso concreto, le condizioni per concedere lesonero dal pagamento delle spese sono date, poiché la vertenza non era sin dallinizio priva di esito favorevole e la ricorrente si trova in una situazione di estrema indigenza,riservato l'obbligo di rimborso, qualora la situazione economica dell'assicurata dovesse in futuro migliorare (cfr. STFA del 15 luglio 2003, I 569/02, consid. 5; STFA del 23 maggio 2002, U 234/00, consid. 5a, parzialmente pubblicata in DTF 128 V 174; DTF 124 V 301, consid. 6).</w:t>
      </w:r>
    </w:p>
    <w:p>
      <w:r>
        <w:t>Ne consegue che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