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32.2020.131 vom 17. September 2020</w:t>
      </w:r>
    </w:p>
    <w:p>
      <w:r>
        <w:t>TI Tribunale d'appello, 2020-09-17, IT</w:t>
      </w:r>
    </w:p>
    <w:p>
      <w:r>
        <w:rPr>
          <w:b/>
        </w:rPr>
        <w:t xml:space="preserve">Quelle: </w:t>
      </w:r>
      <w:r>
        <w:t>https://mcp.opencaselaw.ch/entscheid/ti_gerichte_32.2020.131</w:t>
      </w:r>
    </w:p>
    <w:p>
      <w:r>
        <w:t>FR: TI_GERICHTE 32.2020.131 du 17 septembre 2020</w:t>
      </w:r>
    </w:p>
    <w:p>
      <w:r>
        <w:t>IT: TI_GERICHTE 32.2020.131 del 17 settembre 2020</w:t>
      </w:r>
    </w:p>
    <w:p>
      <w:pPr>
        <w:pStyle w:val="Heading2"/>
      </w:pPr>
      <w:r>
        <w:t>Erwägungen</w:t>
      </w:r>
    </w:p>
    <w:p>
      <w:r>
        <w:rPr>
          <w:b/>
        </w:rPr>
        <w:t>E. 4</w:t>
      </w:r>
    </w:p>
    <w:p>
      <w:r>
        <w:t>cpv. 1 vCost., la cui giurisprudenza si applica anche alla nuova norma, DTF 126 I 16 consid. 2a/aa, 124 V 181 consid. 1a, 375 consid. 3b e sentenze ivi citate).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nel merito</w:t>
      </w:r>
    </w:p>
    <w:p>
      <w:r>
        <w:t>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w:t>
      </w:r>
    </w:p>
    <w:p>
      <w:r>
        <w:t>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 1411, n. 46).</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all'art.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w:t>
      </w:r>
    </w:p>
    <w:p>
      <w:r>
        <w:t>2.3.Se il grado d'invalidità del beneficiario della rendita subisce una modifica, che incide in modo rilevante sul diritto alla rendita, questa sarà, per il futuro, aumentata o ridotta proporzionalmente o soppressa, dufficio o su richiesta (art. 17 cpv. 1 LPGA).</w:t>
      </w:r>
    </w:p>
    <w:p>
      <w:r>
        <w:t>Qualsiasi cambiamento importante delle circostanze suscettibile di incidere sul grado dinvalidità e, quindi, sul diritto alla rendita, può fondare una revisione giusta lart. 17 LPGA.</w:t>
      </w:r>
    </w:p>
    <w:p>
      <w:r>
        <w:t>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cfr. anche 112 V 372 consid. 2b e 390 consid. 1b).</w:t>
      </w:r>
    </w:p>
    <w:p>
      <w:r>
        <w:t>Una semplice valutazione diversa delle circostanze di fatto, che sono rimaste sostanzialmente invariate, non giustifica comunque una revisione ai sensi dellart. 17 LPGA (DTF 112 V 372 consid. 2b e 390 consid. 1b).</w:t>
      </w:r>
    </w:p>
    <w:p>
      <w:r>
        <w:t>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w:t>
      </w:r>
    </w:p>
    <w:p>
      <w:r>
        <w:t>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w:t>
      </w:r>
    </w:p>
    <w:p>
      <w:r>
        <w:t>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w:t>
      </w:r>
    </w:p>
    <w:p>
      <w:r>
        <w:t>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poi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w:t>
      </w:r>
    </w:p>
    <w:p>
      <w:r>
        <w:t>In questultima sentenza l'Alta Corte ha fatto proprie le considerazioni di Mosimann. In particolare, secondo questo autore (Somatoforme Störungen: Gerichte und [psychiatrische] Gutachten, in: SZS/RSAS 1999 pag.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2.6.   Questo Tribunale, chiamato a verificare se, nel preciso caso di specie, lo stato di salute della ricorrente è stato accuratamente vagliato dallamministrazione prima dellemanazione della decisione impugnata, dopo attento esame della documentazione medica agli atti, non ha alcun motivo per scostarsi dalla perizia pluridisciplinare del __________ del 1° luglio 2020 (doc. 156, pag. 457-523 incarto AI), che conclude per una stabilità dello stato di salute rispetto a quanto accertato nella precedente perizia del 9 novembre 2017 (doc. 69, pag. 211-244 incarto AI).</w:t>
      </w:r>
    </w:p>
    <w:p>
      <w:r>
        <w:t>I medici hanno esaminato approfonditamente levolversi dello stato di salute della ricorrente prendendo in considerazione tutta la documentazione medica prodotta dallassicurata ed acquisita nel corso della procedura amministrativa.</w:t>
      </w:r>
    </w:p>
    <w:p>
      <w:r>
        <w:t>Al referto va attribuita piena forza probante.</w:t>
      </w:r>
    </w:p>
    <w:p>
      <w:r>
        <w:t>Le conclusioni sono del resto state confermate anche dal medico SMR, dr. med. __________, nel rapporto del 2 luglio 2020 (doc. 155, pag. 452-456 incarto AI).</w:t>
      </w:r>
    </w:p>
    <w:p>
      <w:r>
        <w:t>2.7.   La ricorrente contesta le conclusioni peritali e del medico SMR, sostenendo che non sono state prese in considerazione le valutazioni della dr.ssa med. __________, FMH psichiatria e psicoterapia e del dr. med. __________ (doc. I e VI). Ella afferma che la perizia infatti si basava su dei rapporti medici precedenti il peggioramento di cui si tratta. Lultima visita e rapporto medico su cui si basa la perizia del 2020 è di ottobre 2019 (allorquando fui ricoverata in ospedale) (doc. VI).</w:t>
      </w:r>
    </w:p>
    <w:p>
      <w:r>
        <w:t>Le censure della ricorrente vanno respinte.</w:t>
      </w:r>
    </w:p>
    <w:p>
      <w:r>
        <w:t>I referti del 23 luglio 2020 della dr.ssa med. __________ (doc. 163, pag. 618-619 incarto AI = doc. A3) e dell11 agosto 2020 del dr. med. __________ (doc. 165, pag. 622-625 incarto AI, simile al referto del 5 agosto 2020, doc. A2) non sono infatti atti a sovvertire le approfondite e motivate valutazioni del __________.</w:t>
      </w:r>
    </w:p>
    <w:p>
      <w:r>
        <w:t>2.7.1.   La dr.ssa med. __________, che nel suo certificato non pone alcuna diagnosi secondo criteri scientificamente riconosciuti, si limita a ribadire che vi sarebbe stato un peggioramento dello stato di salute psichico dellinsorgente, aumentato nel lungo tempo trascorso tra la nuova domanda e lemissione del progetto di decisione. In particolare vi è una instabilità emotiva, associata a fluttuazioni ansiose, transitori disturbi del sonno, vissuti abbandonici, difficoltà a gestire anche piccole incombenze del quotidiano che, secondo la curante, inficiano in modo considerevole la capacità lavorativa della paziente, che ritengo inabile nella misura del 100% ormai da oltre due anni.</w:t>
      </w:r>
    </w:p>
    <w:p>
      <w:r>
        <w:t>La psichiatra curante, oltre a non apportare alcun elemento medico oggettivo a conforto della sua valutazione, non si confronta con le convincenti e motivate conclusioni della consulente del __________, dr.ssa med. __________, specialista in psichiatria e psicoterapia, che ha visitato linsorgente in due occasioni, il 28 gennaio 2019 e l11 febbraio 2019, e che nel suo referto di 24 pagine (pag. 526-549 incarto AI), ha approfonditamente esaminato tutti gli atti a disposizione ed ha preso posizione sulle lamentele dellassicurata.</w:t>
      </w:r>
    </w:p>
    <w:p>
      <w:r>
        <w:t>La dr.ssa med. __________, che oltre ad effettuare un esame clinico secondo AMDP-System, ha pure avuto un colloquio telefonico con la psichiatra curante, dopo aver confermato che la sintomatologia depressiva è riconducibile alla diagnosi già posta del dr. med. __________ nel 2016, ovvero di episodio depressivo cronicizzato a livelli medi di gravità, derivante da un quadro depressivo evolutosi da un disturbo da disadattamento nel contesto di un sottostante disturbo della personalità con tratti misti borderline e dipendenti, ha eseguito una valutazione approfondita della fattispecie, concludendo che pur lamentando di non riuscire a dare continuità alle cose e a non poter intraprendere alcuna attività lavorativa il riferito della giornata evidenzia quantomeno un livello di attività spontanee sovrapponibile a quello descritto nella precedente valutazione peritale __________, se non che, dopo lultima valutazione psichiatrica __________ lassicurata ha poi frequentato il corso promosso dalla disoccupazione, il corso di contabilità nellambito dei provvedimenti proposti dallUAI, e si è impegnata, di recente, seppure per poche ore, nella gestione della portineria del palazzo in cui abita. La progettualità, nonostante le riferite paure ed incertezze, è abbastanza definita: ad esempio lassicurata spera di riuscire a vendere una piccola proprietà per poter cambiare a casa giovando di una zona più centrale che la faccia sentire meno isolata, ha preso accordi con lex coniuge per un eventuale trasferimento della figlia. Lassenza di una modifica sostanziale del quadro clinico è indirettamente confermata dallassenza di provvedimenti terapeutici più intensivi, al contrario la presenza di fattori esterni sfavorevoli ma non indennizzabili (quali la condizione economica di difficoltà) possono contribuire ad accentuare i vissuti disagio e disadattamento.</w:t>
      </w:r>
    </w:p>
    <w:p>
      <w:r>
        <w:t>Dal referto del __________ emerge ancora che i farmaci sono diminuiti, in quanto precedentemente, nellambito della precedente perizia __________ lA. assumeva del Deanxit e delle benzodiazepine al bisogno. Ora assume solo Temesta in terapia (pag. 485 incarto AI).</w:t>
      </w:r>
    </w:p>
    <w:p>
      <w:r>
        <w:t>Non vi sono pertanto elementi medici oggettivi per ritenere un peggioramento dello stato di salute in ambito psichiatrico come sostenuto dalla ricorrente, la quale, oltre al già citato certificato della psichiatra curante, non ha prodotto ulteriori referti specialistici atti a sovvertire le conclusioni della dr.ssa med. __________.</w:t>
      </w:r>
    </w:p>
    <w:p>
      <w:r>
        <w:t>In queste condizioni, alla luce delle motivate, approfondite e convincenti valutazioni peritali, questo Tribunale deve confermare, per quanto concerne la patologia psichiatrica, che lo stato di salute della ricorrente non ha subito alcuna variazione.</w:t>
      </w:r>
    </w:p>
    <w:p>
      <w:r>
        <w:t>2.7.2.   Anche per quanto concerne laspetto somatico, lesito è il medesimo.</w:t>
      </w:r>
    </w:p>
    <w:p>
      <w:r>
        <w:t>Infatti, il referto dell11 agosto 2020 (doc. 165, pag. 622-625 incarto AI) del dr. med. __________, simile a quello del 5 agosto 2020 prodotto con il ricorso (doc. A2), si esaurisce in una semplice elencazione delle patologie già note, con lindicazione che nel frattempo vi sarebbe stato un peggioramento a livello fisico dei dolori in zona lombare con ulteriore limitazione della deambulazione e della dispnea e che linteressata è completamente inabile al lavoro.</w:t>
      </w:r>
    </w:p>
    <w:p>
      <w:r>
        <w:t>2.7.3.   Ne segue, come rileva correttamente il medico SMR, dr. med. __________, nellannotazione del 18 agosto 2020 (doc. 166, pag. 626 incarto AI), che la documentazione prodotta dalla ricorrente non contiene nuovi elementi medico-clinici che depongono per una modifica dello stato di salute rispetto alla valutazione del __________.</w:t>
      </w:r>
    </w:p>
    <w:p>
      <w:r>
        <w:t>A proposito del medico SMR non va dimenticato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w:t>
      </w:r>
    </w:p>
    <w:p>
      <w:r>
        <w:t>Inoltre, relativamente alla diversa valutazione della capacità lavorativa dei curanti, essaè spiegabilecon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w:t>
      </w:r>
    </w:p>
    <w:p>
      <w:r>
        <w:t>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w:t>
      </w:r>
    </w:p>
    <w:p>
      <w:r>
        <w:t>2.7.4.   Infine, per quanto concerne lintervento chirurgico del 20 novembre 2020 presso l__________ di __________ per foraminotomia endoscopica L4-L5 a destra (doc. X/1 e X/2) e gli attestati di incapacità lavorativa del dr. med. __________ per il periodo successivo allintervento (doc. XII/A e XII/B),va rammentato chesecondo costante giurisprudenza, l'autorità giudicante deve limitare l'esame del caso alla situazione effettiva che si presenta all'epoca in cui è stata resa la decisione impugnata (in concreto: 17 settembre 2020),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(sul potere cognitivo dal profilo temporale del giudice delle assicurazioni sociali cfr. DTF 144 V 210 consid. 4.3.1 con riferimenti, citata nella sentenza 8C_435/2020 del 23 ottobre 2020, consid. 4.4).</w:t>
      </w:r>
    </w:p>
    <w:p>
      <w:r>
        <w:t>Tale intervento e le sue conseguenze, notificate dal medico curante direttamente allUAI in data 30 novembre 2020 (doc. X/1), devono pertanto essere oggetto di una nuova procedura.</w:t>
      </w:r>
    </w:p>
    <w:p>
      <w:r>
        <w:t>2.8.Questa Corte ritiene di conseguenza che lo stato di salute dellassicurata sia stato dettagliatamente ed approfonditamente vagliato dall'amministrazione e che le sue conclusioni vadano confermate.</w:t>
      </w:r>
    </w:p>
    <w:p>
      <w:r>
        <w:t>In conclusione, stante quanto sopra esposto, sulla base delle affidabili e concludenti risultanze mediche agli atti, secondo il grado della verosimiglianza preponderante abitualmente applicato nel settore delle assicurazioni sociali (DTF 138 V 218 consid. 6 con riferimenti), occorre concludere che lo stato di salute dellinteressata è rimasto stabile.</w:t>
      </w:r>
    </w:p>
    <w:p>
      <w:r>
        <w:t>La decisione impugnata, che conferma il suo diritto a ½ rendita va pertanto tutelata, mentre il ricorso deve essere respinto.</w:t>
      </w:r>
    </w:p>
    <w:p>
      <w:r>
        <w:t>2.9.Secondo l'art. 69 cpv. 1bis LAI, nel tenore in vigore fino al 31 dicembre 2020 ed applicabile in concreto (cfr. disposizione transitoria, art. 83 LPGA),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