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32.2019.83 vom 21. März 2019</w:t>
      </w:r>
    </w:p>
    <w:p>
      <w:r>
        <w:t>TI Tribunale d'appello, 2019-03-21, IT</w:t>
      </w:r>
    </w:p>
    <w:p>
      <w:r>
        <w:rPr>
          <w:b/>
        </w:rPr>
        <w:t xml:space="preserve">Quelle: </w:t>
      </w:r>
      <w:r>
        <w:t>https://mcp.opencaselaw.ch/entscheid/ti_gerichte_32.2019.83</w:t>
      </w:r>
    </w:p>
    <w:p>
      <w:r>
        <w:t>FR: TI_GERICHTE 32.2019.83 du 21 mars 2019</w:t>
      </w:r>
    </w:p>
    <w:p>
      <w:r>
        <w:t>IT: TI_GERICHTE 32.2019.83 del 21 marzo 2019</w:t>
      </w:r>
    </w:p>
    <w:p>
      <w:pPr>
        <w:pStyle w:val="Heading2"/>
      </w:pPr>
      <w:r>
        <w:t>Erwägungen</w:t>
      </w:r>
    </w:p>
    <w:p>
      <w:r>
        <w:rPr>
          <w:b/>
        </w:rPr>
        <w:t>E. 1</w:t>
      </w:r>
    </w:p>
    <w:p>
      <w:r>
        <w:t>LPGA, 41 vLAI, art. 87ss. OAI; VSI 1999 p. 8; Rüedi, Die Verfügungsanpassung als Grundfigur von Invalidenrentenrevisionen, in Schaffauser/ Schlauri, Die Revision von Dauerleistungen, Veröffentlichungen des Schweizerischen Instituts für Verwaltungskurse an der Uni St. Gallen, 1999, p. 15; DTF 117 V 198). L’art. 17 cpv. 1 LPGA stabilisce che “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349 seg. consid. 3.5).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2.4.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 Reichmuth, Rechtsprechung des Bundesgerichts zum IVG, 2014,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 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2.5.   Nel caso in esame, a seguito della terza domanda di prestazioni, come accennato l’Ufficio AI ha ordinato una perizia multidisciplinare a cura del __________. Dal referto del 15 ottobre 2018 (doc. 134 inc. AI) risulta che i periti hanno fatto capo a consultazioni specialistiche esterne di natura psichiatrica (dr. __________), reumatologica (dr. __________), e endocrinologica (dr. __________), ponendo le seguenti diagnosi: " 5.1   Diagnosi con influenza sulla capacità lavorativa: Alterazioni degenerative al rachide cervicale (ernia discale C6-7 paramediana a sin.), dorsale (ernia discale centrale D11-D12 paramediana a sin.) e lombare (discopatie plurisegmentali lombari, anterolistesi di L% su S1 di 6mm, spondilartrosi L4-S1, stenosi neruoforminali di L5, più marcata a sin. Rispetto a ds.). Gonartrosi tricompartimentafe bilaterale: -  esiti da meniscectomia mediale parziale a sinistra il 5.3.2009; -  obesità (peso:100,9 kg/statura: 153.5 cm).¨ Diabete di tipo 2 non trattato, noto dal 2009 ca., attualmente chiaramente scompensato (HbA 12.3%). Marcata carenza in vitamina D. Sindrome somatoforme del dolore persistente (F45.4). 5.2   Diagnosi senza influenza sulla capacità lavorativa : Sindrome fibromialgica generalizzata. Decondizionamento e sbilancio muscolare. Disturbi statici del rachide (ipercifosi della dorsale alta con protrazione del capo). lpotireosi nota e sostituita dal.2010, nel contesto di una tiroidite di Hashimoto. Gozzo diffuso bilaterale asintomatico. Obesità permagna (BM 42 kg/m2). Nota ipertensione arteriosa in trattamento.” I periti hanno concluso che dal punto di vista reumatologico e psichiatrico la valutazione clinica e valetudinaria è rimasta invariata rispetto a quanto valutato nella precedente perizia __________ dell’aprile 2014. È stato invece accertato un peggioramento per quanto riguarda gli aspetti endocrinologici, in particolare per quel che concerne il diabete mellito e la carenza di vitamina D, patologie con ripercussioni sulla capacità lavorativa. In merito alla capacità lavorativa, confermate le limitazioni derivanti dalle citate affezioni reumatologiche, dal punto di vista endocrinologico il __________ ha rilevato una limitazione della capacità lavorativa del 30-40% in attività fisicamente pesanti e del 50% in qualunque altra attività, da intendere come diminuzione di rendimento in un’attività svolta a tempo pieno. I periti hanno poi ritenuto che le singole capacità lavorative non debbano essere sommate ma integrate poiché le patologie che causano una diminuzione della capacità lavorativa comportano delle limitazioni funzionali, di carico e di rendimento che in buona parte si sovrappongono. Pertanto è stata valutata un’inabilità globale del 70% nell’abituale attività e del 60% in attività adeguate a decorrere dal gennaio 2017, mese in cui è stata inoltrata l’ultima richiesta di prestazioni AI. Con rapporto finale 18 ottobre 2018 il dr. med. __________ del SMR ha avallato la perizia multidisciplinare (doc. 135 inc. AI). 2.6.   In sede di ricorso l’assicurata ha prodotto lo scritto 1° aprile 2019 del suo medico curante, dr. med. __________, il quale sostiene che la sua paziente, viste le patologie presenti, è da ritenere inabile in qualsiasi attività dal 1° gennaio 2008 (doc. C). Ha poi allegato altra documentazione medica già vagliata dal __________ (doc. D – F). A tal riguardo rettamente nelle annotazioni 16 maggio 2019 il dr. Andreoli del SMR ha osservato che il medico curante “ non apporta nuove diagnosi o quadri psico-fisici di nuova entità tali da modificare il RAF del 18.10.2018 agli atti redatto dopo perizia __________ pluridisciplinare ” (IV/1). Lo stesso dicasi per gli scritti 27 maggio 2019 sempre del medico curante, in cui quest’ultimo riporta in dettaglio le affezioni, sostenendo un peggioramento dello stato di salute della sua paziente che le causa una totale inabilità lavorativa (doc. G1) e che la stessa presenta un “blocco psico-fisico completo che rasenta uno stato depressivo – paranoico di disperazione ”, che è in cura dal 15 giugno 2000 e che non lavora più dal 1° gennaio 2008 (doc. G2). Prendendo posizione al riguardo, con annotazione 12 giugno 2019 il medico SMR ha ribadito che non vi sono motivi obiettivi per modificare la valutazione della perizia __________ e che nell’ultimo certificato “ vi è un elenco di patologie già note oltre a presa di posizione senza indicazione di limiti funzionali indicando limitazioni totale di esigibilità da parte del medico curante in cospicua terapia farmacologica” (VIII/1). In effetti, nella nuova documentazione il medico curante non ha posto diverse diagnosi rispetto a quelle accertate nell’ultima perizia pluridisciplinare, né ha circostanziato altre limitazioni funzionali oltre a quelle già valutate. Il medico curante ha poi fatto riferimento ad un “ blocco psico-fisico completo che rasenta uno stato depressivo – paranoico di disperazione” senza tuttavia allegare alcuna documentazione specialistica. Va infine rilevato che tutte le perizie svolte in passato non hanno confermato, contrariamente a quanto ritenuto dal medico curante, una totale inabilità lavorativa in qualsiasi attività dal 1° gennaio 2008. Questo Tribunale, richiamata la suesposta giurisprudenza in materia di valore probatorio di rapporti medici, non ha motivo per non far proprie le conclusioni cui sono giunti i periti __________ nel rapporto del 15 ottobre 2018, i quali, resa una perizia da considerare dettagliata, approfondita e quindi rispecchiante i criteri di affidabilità e completezza richiesti dalla giurisprudenza sopra ricordati (cfr. consid. 2.4), hanno compiutamente valutato le differenti affezioni di cui l’assicurata è portatrice, giungendo ad una conclusione logica e priva di contraddizioni in merito alla sua capacità lavorativa del 30% dal gennaio 2017 quale cameriera ai piani (attività da ultimo svolta) e del 40% in altre attività adeguate alle limitazioni funzionali e di carico poste a livello reumatologico, tenuto conto, quale peggioramento rispetto alla perizia del 2014, delle ripercussioni sulla capacità lavorativa di natura endocrinologica. In queste circostanze, questo Tribunale ritiene che la refertazione medica agli atti contiene elementi chiari e sufficienti per valutare l'incapacità al guadagno dell'assicurata sino all'emanazione del querelato provvedimento, senza che si renda quindi necessario l'esperimento di ulteriori accertamenti ( valutazione anticipata delle prove, fra le tante cf r. DTF 130 II 425 consid. 2.1 pag. 429 e riferimenti ). Pertanto, visto quanto sopra, il TCA, richiamato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pp. 57, 551 e 572), ritiene dimostrato con il grado della verosimiglianza preponderante valido nell'ambito delle assicurazioni sociali (DTF 126 V 360; DTF 125 V 195 consid. 2 e i riferimenti ivi citati), che la ricorrente sia da considerare abile al 40% in attività adeguate dal mese di gennaio 2017. 2.7. Riguardo alla determinazione del grado d’invalidità, rimasto incontestato, l’Ufficio AI ha rettamente quantificato il salario da valida computando il reddito che l’assicurata da sana avrebbe percepito dal suo ultimo datore di lavoro, la __________ di __________, lavorando nel 2016, pari a fr. 44’291.-- (doc. 139 inc AI) . In merito al calcolo del reddito ipotetico da invalida, conformemente alla giurisprudenza e come si evince dalla risposta di causa, l’amministrazione l’ha stabilito computando il reddito statistico del 2016 (nella decisione contestata è stato preso il valore statistico del 2014) in un’attività semplice e ripetitiva e relativa ad una professione che presuppone qualifiche inferiori, utilizzando i dati salariali forniti dalla tabella TA1 (anno 2016 skill level – donne – livello 1 di competenze – valore centrale) elaborata dall'Ufficio federale di statistica (a proposito della rilevanza delle condizioni salariali nel settore privato, cfr. RAMI 2001 U 439, pp. 347ss. e SVR 2002 UV 15, pp. 47ss.) pari a f r. 54'581,15. L’Ufficio AI ha poi considerato la capacità lavorativa del 40% e ha tenuto conto di una riduzione del reddito per circostanze personali del 15% (cfr. rapporto 21 novembre 2018 del consulente in integrazione professionale in doc. 140 inc. AI), quantificando il reddito da invalida in fr. 18'557,60. Dal raffronto tra il reddito da valida di fr. 44’291.-- ed il reddito da invalida di fr. 18'557,60 risulta un tasso d’invalidità del 58,1% conferente il diritto ad una mezza rendita, con effetto dal 1° gennaio 2018. Va qui fatto presente che il momento determinante per il calcolo è il 2018, anno della nascita del diritto alla rendita. Come si vedrà, ciò non influisce sull’esito della vertenza. Infatti, tenuto conto che in quell’anno da sana l’assicurata avrebbe percepito fr. 44'655.-- (doc. 139 inc. AI). Considerato un reddito da invalida aggiornato al 2018 di fr. 18'792,50 ( 54'581,15 x 105,9 :105 = 55’049.--; 40% di 55'049.-- = 22'163,50; 85 % di  22'163,50 = 18'839.--; cfr. Tabella T1.2.10 Indice dei salari nominali, donne, 2011-2018, pubblicata dall'Ufficio federale di statistica) il grado d’invalidità risulta essere del 58% (44'655 — 18'839) x 100 : 44'655). In queste circostanze, la decisione contestata merita conferma, mentre il ricorso va respinto. 2.8.   S econdo l’art. 69 cpv. 1bis LAI, la procedura di ricorso in caso di controversie relative all’assegnazione o al rifiuto di prestazioni AI dinanzi al TCA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