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32.2019.30 vom 13. Dezember 2018</w:t>
      </w:r>
    </w:p>
    <w:p>
      <w:r>
        <w:t>TI Tribunale d'appello, 2018-12-13, IT</w:t>
      </w:r>
    </w:p>
    <w:p>
      <w:r>
        <w:rPr>
          <w:b/>
        </w:rPr>
        <w:t xml:space="preserve">Quelle: </w:t>
      </w:r>
      <w:r>
        <w:t>https://mcp.opencaselaw.ch/entscheid/ti_gerichte_32.2019.30</w:t>
      </w:r>
    </w:p>
    <w:p>
      <w:r>
        <w:t>FR: TI_GERICHTE 32.2019.30 du 13 décembre 2018</w:t>
      </w:r>
    </w:p>
    <w:p>
      <w:r>
        <w:t>IT: TI_GERICHTE 32.2019.30 del 13 dicembre 2018</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t>Lart. 17 cpv. 1 LPGA stabilisce che 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343 consid. 3.5).</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w:t>
      </w:r>
    </w:p>
    <w:p>
      <w:r>
        <w:t>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w:t>
      </w:r>
    </w:p>
    <w:p>
      <w:r>
        <w:t>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t>Infine, una diversa valutazione di uno stato di fatto rimasto invariato ed inizialmente approfonditamente esaminato non costituisce né un caso di revisione, né un caso di riconsiderazione (STFA I 8/04 del 12 ottobre 2005 pubblicata in Plaidoyer 1/06, pag. 64-65).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2.5.   Questo Tribunale, chiamato innanzitutto ad esprimersi a proposito della correttezza della valutazione del 20 novembre 2018 del dr. __________ del SMR, posta a fondamento della decisione impugnata, non può, senza che prima vengano svolti ulteriori approfondimenti, condividerne le conclusioni.</w:t>
      </w:r>
    </w:p>
    <w:p>
      <w:r>
        <w:t>2.6.Nella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considerando2.5.,ci troviamo di fronte ad un accertamento dei fatti lacunoso, si giustifica il rinvio degli atti allamministrazione - alla quale compete in prima battuta accertare lo stato di salute dellinteressata - affinché metta in atto gli accertamenti medici ed economici necessari al fine di chiarire se sia effettivamente intervenuto (e nellaffermativa in che misura e da quando), oppure no, un miglioramento delle condizioni di salute dellassicurata, tale da influire sul diritto alla rendita.</w:t>
      </w:r>
    </w:p>
    <w:p>
      <w:r>
        <w:t>In concreto, con la conferma del diritto alla rendita intera dal 1° agosto 2017 al 31 luglio 2018 nel dispositivo della presente sentenza, su questo specifico punto non vi è spazio per una reformatio in peius (cfr. anche la sentenza 9C_205/2011 del 10 novembre 2011, consid. 8.4, penultimo paragrafo; STCA 32.2014.70 del 30 marzo 2015).</w:t>
      </w:r>
    </w:p>
    <w:p>
      <w:r>
        <w:t>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r>
        <w:t>2.8.   Nel caso di specie, inoltre, visto lesito del ricorso (il rinvio con esito aperto equivale a piena vittoria: da ultimo STF8C_859/2018 del 26 novembre 2018 consid. 5con rinvio aDTF 137 V210 consid. 7.1 pag. 271 con riferimento), la ricorrente, patrocinata da un avvocato, ha diritto allimporto di fr. 2500.-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