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32.2019.28 vom 27. Dezember 2018</w:t>
      </w:r>
    </w:p>
    <w:p>
      <w:r>
        <w:t>TI Tribunale d'appello, 2018-12-27, IT</w:t>
      </w:r>
    </w:p>
    <w:p>
      <w:r>
        <w:rPr>
          <w:b/>
        </w:rPr>
        <w:t xml:space="preserve">Quelle: </w:t>
      </w:r>
      <w:r>
        <w:t>https://mcp.opencaselaw.ch/entscheid/ti_gerichte_32.2019.28</w:t>
      </w:r>
    </w:p>
    <w:p>
      <w:r>
        <w:t>FR: TI_GERICHTE 32.2019.28 du 27 décembre 2018</w:t>
      </w:r>
    </w:p>
    <w:p>
      <w:r>
        <w:t>IT: TI_GERICHTE 32.2019.28 del 27 dicembre 2018</w:t>
      </w:r>
    </w:p>
    <w:p>
      <w:pPr>
        <w:pStyle w:val="Heading2"/>
      </w:pPr>
      <w:r>
        <w:t>Regeste</w:t>
      </w:r>
    </w:p>
    <w:p>
      <w:r>
        <w:t>Decisione con la quale è stato negato il diritto a prestazioni non può essere confermata, senza che prima venga attuata una perizia psichiatrica nel rispetto della procedura probatoria strutturata basata su indicatori</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A seguito delle contestazioni sollevate dalla __________, a quel momento rappresentante dellassicurato, contro il progetto di rifiuto delle prestazioni, suffragate dai referti della __________ di __________ e dello psichiatra curante (cfr. doc. 72), il dr. __________ del SMR, nelle annotazioni del 19 dicembre 2018, ha ribadito la propria posizione, ritenendo che non si evidenziano fatti nuovi o variazioni significative di fatti noti che consentano di modificare la precedente presa di posizione espressa nel rapporto finale SMR del 29.10.2018 (doc. 69).</w:t>
      </w:r>
    </w:p>
    <w:p>
      <w:r>
        <w:t>2.5.   In sede ricorsuale, la rappresentante dellassicurato ha contestato la valutazione fornita dal SMR, posta alla base della decisione di rifiuto del diritto a prestazioni, ritenendola lacunosa e in contrasto con la storia di malattia dellinteressato.</w:t>
      </w:r>
    </w:p>
    <w:p>
      <w:r>
        <w:t>A sostegno delle proprie obiezioni, ella ha trasmesso al TCA il referto di dimissione dalla Clinica __________ di __________ del 10 gennaio 2019 - presso la quale linteressato è rimasto degente dall8 dicembre 2018 al 24 dicembre 2018, prima di essere trasferito presso le cure intense dellOspedale __________ di __________, a seguito di un tentativo di suicidio per impiccagione - nel quale sono state poste le diagnosi di disturbo di personalità misto (ICD10-F61); disturbi psichici e comportamentali dovuti alluso di alcool: intossicazione acuta (ICD10-F10.0) (cfr. doc. A11).</w:t>
      </w:r>
    </w:p>
    <w:p>
      <w:r>
        <w:t>Preso atto di queste critiche, lamministrazione, nella risposta di causa, ha confermato la correttezza delle conclusioni alle quali è giunto il dr. __________ del SMR, anche alla luce della nuova presa di posizione dello psichiatra del SMR. Questultimo, infatti, nelle annotazioni del 19 febbraio 2019, ha ribadito il proprio punto di vista, osservando:</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2.7.Questo Tribunale, chiamato ad esprimersi a proposito della correttezza della valutazione del 29 ottobre 2018 del dr. __________ del SMR, posta a fondamento della decisione impugnata, non può in ogni caso,alla luce della modifica giurisprudenziale dettagliatamente esposta al considerando 2.3.,condividerne le conclusioni.</w:t>
      </w:r>
    </w:p>
    <w:p>
      <w:r>
        <w:t>2.8.Lassicurato ha chiesto di essere posto al beneficiodellassistenza giudiziaria con gratuito patrocinio (cfr. doc. I).</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