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32.2019.190 vom 2. Oktober 2019</w:t>
      </w:r>
    </w:p>
    <w:p>
      <w:r>
        <w:t>TI Tribunale d'appello, 2019-10-02, IT</w:t>
      </w:r>
    </w:p>
    <w:p>
      <w:r>
        <w:rPr>
          <w:b/>
        </w:rPr>
        <w:t xml:space="preserve">Quelle: </w:t>
      </w:r>
      <w:r>
        <w:t>https://mcp.opencaselaw.ch/entscheid/ti_gerichte_32.2019.190</w:t>
      </w:r>
    </w:p>
    <w:p>
      <w:r>
        <w:t>FR: TI_GERICHTE 32.2019.190 du 2 octobre 2019</w:t>
      </w:r>
    </w:p>
    <w:p>
      <w:r>
        <w:t>IT: TI_GERICHTE 32.2019.190 del 2 ottobre 2019</w:t>
      </w:r>
    </w:p>
    <w:p>
      <w:pPr>
        <w:pStyle w:val="Heading2"/>
      </w:pPr>
      <w:r>
        <w:t>Regeste</w:t>
      </w:r>
    </w:p>
    <w:p>
      <w:r>
        <w:t>Rifiuto rendita. Assicurato che soffre di più patologie. Valutazione SMR non è sufficiente. Rinvio atti per valutazione pluridisciplinare (in ambito oncologico, endocrinologico e neurologico)</w:t>
      </w:r>
    </w:p>
    <w:p>
      <w:pPr>
        <w:pStyle w:val="Heading2"/>
      </w:pPr>
      <w:r>
        <w:t>Erwägungen</w:t>
      </w:r>
    </w:p>
    <w:p>
      <w:r>
        <w:rPr>
          <w:b/>
        </w:rPr>
        <w:t>E. 1</w:t>
      </w:r>
    </w:p>
    <w:p>
      <w:r>
        <w:t>Ca papillifero della tiroide con metastasi linfonodali bilaterali, stadio UCC: pT2m, pN1b, Vol1, R1 (Di. Settembre 2017) con: -   tiroidectomia totale con svuotamento linfonodale selettivo bilaterale (14 novembre 2017, __________); -   radioiodioterapia; -   ipoparatiroidismo e ipotireosi secondari all’intervento;</w:t>
      </w:r>
    </w:p>
    <w:p>
      <w:r>
        <w:rPr>
          <w:b/>
        </w:rPr>
        <w:t>E. 2</w:t>
      </w:r>
    </w:p>
    <w:p>
      <w:r>
        <w:t>Cervicalgia cronica irradiante agli arti superiori in particolare cervicobrachialgia C6 destra nel contesta di stenosi foraminale (seguito in neurochirurgie __________, Dr.ssa __________ e centro del dolore Dr.ssa __________, cfr. referti allegati) con: a. IRM cervicale maggio 2019: iniziale ernia. paramediana a destra 07-D1 senza conflitti. Spondilosi discreta anteriore 05-C6. Iniziale spondilosi posteriore paramediana a sinistre associata ad erniazione discale con lieve obliterazione dello spazio subaracnoideo. b. • Infiltrazione periradicolare per esacerbazione dei dolori su stenosi foraminale C5-C6 bilaterale con Kenakort 15 ottobre 2019, Drssa __________, Centro __________, senza beneficio, anzi con peggioramento dei dolori. c. Stenosi foraminale paramediana 05/C6 con contatto suite radice</w:t>
      </w:r>
    </w:p>
    <w:p>
      <w:r>
        <w:rPr>
          <w:b/>
        </w:rPr>
        <w:t>E. 06</w:t>
      </w:r>
    </w:p>
    <w:p>
      <w:r>
        <w:t>destra. Dopo infiltrazione interlaminare C5-C6 destra il paziente riferisce risoluzione dei formicolii e modificazione del dolore, ora avvertito più sul versante interno del braccio fino al gomito (ma non oltre). Esame clinico mirato Non deficit di forza al testing segmentario. Sensibilità tattile preservata. ROT deboli e simmetrici. Dolore alla mobilizzazione passive della spalla ed alla pressione locale. Conclusione Lo studio ENG-EMGrafico è normale, senza indizi elettrofisiologici per una sindrome del tunnel carpale, una plessopatia brachiale o una radicolopatia C5,061C7 e 08 a destra. Seguirà separatamente referto dei potenziali evocati. Da parte mia non sono previsti altri controlli, ma rimango a disposizione al bisogno.” (doc. D-2; n.d.r.: il grassetto non è della redattrice). Interpellata in proposito dall’UAI, nell’annotazione del 10 dicembre 2019, il medico SMR, dr. med. __________, specialista FMH in medicina interna generale (doc. XII-1), ha rilevato quanto segue: " (…) Valutazione: 1.   diagnosi lpocalcemia: -     La diagnosi di ipocalcemia costituisce una emergenza in medicina interna che richiede delle misure immediate contro i disturbi neurologici, cardiaci, muscolari e cognitive potenzialmente letali. -     Il fatto di sostituire un preparato di Vitamina D (Calcitrolo) a giugno 2019 non costituisce una sospensione della terapia sostitutiva di Calcium. -     Il medico curante non fornisce dei parametri di laboratorio, e non risultano a disposizione dei nuovi referti del Dr. __________, endocrinologo. Il medico curante non sembra aver informato gli specialisti: nei referti del neurologo, delle neurochirurghe o dell'anestesista che hanno visitato l'assicurato non compare la diagnosi di ipocalcemia. -     Gli specialisti non rilevano vertigini, tremori, crampi o debolezza muscolare e l'assicurato non menziona questi sintomi durante le visite. Il neurologo rileva uno stato neurologico senza particolarità. L'elettroneurografia e l'elettromiografia risultano normali. Le neurochirurghe rilevano delle buone condizioni generali in assenza di deficit neurologici. 2.   diagnosi Cervicalgia cronica irradiante agli arti superiori, in particolare cervicobrachialgia C6 destra nel contesto di stenosi foraminale Il neurologo rileva una sensibilità conservata e dei riflessi simmetrici, non rileva un deficit di forza. L'ENG e l'EMG risultano normali. La RM cervicale del 17.05.2019 non rileva delle compressioni. In confronto alla RM del 10.2017 non viene più descritto un contatto sulla radice C5 a sinistra. ln data 15.10.2019 è stato infiltrato lo spazio epidurale con un anestetico ed un cortisonico. Il mancato beneficio indica che l'ipotesi diagnostica non si è verificata: l'origine dei dolori accusati non è nel midollo spinale o nelle radici della zona infiltrata. 3.   diagnosi Lombalgie: La RM lombare del 28.10.2019 è senza spondilartrosi, senza alterazioni flogistiche faccettarie o peridiscali. La moderata discopatia L4-5 e L5-S1 rilevata nella RM del 28.10.2019 costituisce un dato trovato in 80% di individui d'una popolazione generale asintomatica della medesima fascia d'età dell'assicurato di 50 anni. Fonte: Systematic Literature Review of Imaging Features of Spinal Degeneration in Asymptomatic Populations, W. Brinjikji et al, Am J Neuroradiol 2013 Apr; 36(4):811-816. 4.   Il fatto della paresi del nervo peroneale che causa un piede cadente a destra è già conosciuto come diagnosi ed è stato considerato nei limiti funzionali. Conclusione: I referti non oggettivano un peggioramento clinico. Il RAF del 13.09.2018 rimane invariato.” (doc. XII-1; n.d.r.: le sottolineature non sono della redattrice). 2.5.   Chiamato ora a pronunciarsi il TCA non può approvare l’operato dell’UAI, in quanto il rapporto del 13 settembre 2018 (come pure l’annotazione dell’11 luglio 2019) del medico SMR, dr.ssa med. __________, specialista FMH in medicina interna generale (doc. 17 e 30 incarto LAI) - sulla base della documentazione medica agli, in particolare dell’incarto Lamal - non è sufficiente per concludere che RI 1 è abile al 50% in qualsiasi attività a partire dal 6 marzo 2018 e continua. A fronte delle patologie di carattere oncologico, endocrinologico e neurologico di cui è affetto l’assicurato (e del loro evolversi nel corso del 2018-2019, di cui si è già ampiamente detto al consid. 2.4), considerato pure che nell’incarto Lamal non figura alcuna valutazione specialistica (dello stato di salute dell’assicurato, dell’esigibilità lavorativa e della sua capacità lavorativa residua) e che agli atti mancano pure i questionari “ rapporto medico: integrazione professionale/rendita ” (che non sono stati inviati/richiesti dall’UAI agli specialisti curanti dell’assicurato), il rapporto del 13 settembre 2018 (come pure l’annotazione dell’11 luglio 2019) - ove è stata peraltro indicata una prognosi incerta/dubbia sia nell’attività abituale sia in quelle ritenute adeguate - del medico SMR, specialista FMH in medicina interna generale (doc. 17 e 30 incarto LAI), non consente al TCA di concludere, con la necessaria tranquillità, che RI 1 sia abile al 50% (presenza a tempo pieno e riduzione di rendimento del 50%), in qualsiasi attività (abituale, quale cuoco, e adeguata, secondo l’esigibilità lavorativa posta dal medico SMR nel rapporto finale del 13 settembre 2018, di cui si è già ampiamente detto al consid. 2.4), a partire dal 6 marzo 2018. Tanto più che la decisione contestata, che segna il limite temporale del potere cognitivo del giudice delle assicurazioni sociali (DTF 132 V 215 consid. 3.1.1; 130 V 140 e 129 V 4; cfr. pure STF 9C_863/2014 del 23 marzo 2015 consid. 3.2.2 e 8C_792/2014 del 23 marzo 2015 consid. 3.3; STCA 32.2018.169 del 20 agosto 2019, consid. 2.4; STCA 32.2018.169 del 20 agosto 2019, consid. 2.4; STCA 32.2019.47 del 24 febbraio 2020, consid. 2.8; STCA 32.2019.159 del 2 giugno 2020, consid. 2.8), risale al 2 ottobre 2019. I certificati medici esposti al consid. 2.4, possono essere considerati visto che essi fanno riferimento ad una situazione clinica dell’assicurato anteriore alla decisione dell’UAI e dunque, sono rilevanti nella presente procedura. Giova qui difatti ricordare che, per costante giurisprudenza, il giudice delle assicurazioni sociali valuta la legalità della decisione deferitagli sulla base della situazione di fatto esistente al momento in cui essa venne emanata e, quindi, in concreto il 2 ottobre 2019.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Il TCA rileva, inoltre, che - contrariamente a quanto indicato dall’amministrazione nelle osservazioni del 9 gennaio 2020 (doc. XVI: “ la nuova diagnosi di ipocalcemia è stata indicata per la prima volta dalla dr.ssa med. __________ nel referto del 28 novembre 2019 presentato in fase ricorsuale ”) - già nel mese di gennaio 2019, sempre su richiesta dell’assicuratore Lamal, la dr.ssa med. __________, specialista FMH in medicina interna, sub “ prognosi dell’inabilità lavorativa ” aveva attestato quanto segue: “ Persiste inabilità al 50% per importanti dolori cervicali, nevralgia al piede destro e malesseri vassovagali probabilmente ascrivibile a ipocalcemia. ” (doc. 13 incarto Lamal). Sempre nelle medesime osservazioni (doc. XVI), l’UAI ha pure osservato che “ tale diagnosi non è confermata dal SMR in assenza di elementi strumentali oggettivi (referti di laboratorio) e di sintomi neurologici attestati da specialisti. ”. Il TCA non può approvare l’operato dell’UAI, in quanto agli atti -  a parte l’incarto LAMal (ove, però, come anzidetto, non figura alcuna valutazione specialistica) - mancano, come anzidetto, i questionari “ rapporto medico: integrazione professionale/rendita ” che l’UAI non ha inviato/ richiesto agli specialisti curanti dell’assicurato e che dovrà, pertanto, raccogliere agli atti, nell’ambito del rinvio di cui si dirà appresso. È comunque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In questo contesto è pure utile ricordare che, a fronte di una questione squisitamente medica, secondo la giurisprudenza federale, per determinare il grado di inabilità lavorativa di un assicurato che soffre (come nel caso di specie)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Dagli atti dell’incarto emerge, pertanto, la necessità di una valutazione specialistica dello stato di salute dell’assicurato in ambito oncologico, endocrinologico e neurologico. Stante quanto precede, non consentono di giungere ad una diversa conclusione le annotazioni del 13 novembre 2019 (doc. VIII-1) e del 10 dicembre 2019 (doc. XII-1) del medico SMR, dr. med. __________, specialista FMH in medicina interna generale, di cui si è già ampiamente detto al consid. 2.4. 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 rapporto finale 13 settembre 2018 (doc. 17 incarto LAI) e sull’annotazione dell’11 luglio 2019 (doc. 30 incarto LAI) del medico SMR, dr.ssa med. __________, specialista FMH in medicina interna generale. All’UAI incombeva, dunque, prima di emettere la decisione impugnata il 2 ottobre 2019 (che segna il limite temporale del potere cognitivo del giudice delle assicurazioni sociali: DTF 132 V 215 consid. 3.1.1; 130 V 140 e 129 V 4; cfr. pure STF 9C_863/2014 del 23 marzo 2015 consid. 3.2.2 e 8C_792/2014 del 23 marzo 2015 consid. 3.3; STCA 32.2018.169 del 20 agosto 2019, consid. 2.4), accertare in maniera completa ed esaustiva quale fosse il reale stato di salute dell’assicurata mediante un approfondimento peritale esterno (cfr. art. 44 LPGA). Non avendolo fatto, gli atti devono essere rinviati all’amministrazione affinché ponga rimedio alle proprie mancanze per l’allestimento - previo aggiornamento degli atti medici - di una perizia plurudisciplinare (in ambito oncologico, endocrinologico e neurologico), prima di emettere una nuova decisione relativa al diritto alla rendita del ricorrente.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o perché vi erano delle carenze negli accertamenti svolti dall’amministrazione (cfr., fra le tante: STCA 32.2019.47 del 24 febbraio 2020, consid. 2.9). Rilevato come, per le ragioni già diffusamente anziesposte, ci troviamo di fronte ad un accertamento dei fatti lacunoso, si giustifica il rinvio degli atti all’amministrazione, affinché metta in atto l’accertamento peritale necessario, al fine di chiarire lo stato di salute dell’assicurato e le sue conseguenze sulla sua capacità lavorativa nell’attività abituale e in attività adeguate. Alla luce di quanto appena esposto la decisione impugnata va annullata e l’incarto rinviato all’UAI per l’allestimento - previo aggiornamento degli atti medici dal profilo somatico (tenuto conto della documentazione medica versata agli atti anche in questa sede) - di una perizia plurudisciplinare (in ambito oncologico, endocrinologico e neurologico), in cui gli specialisti coinvolti procederanno, come di consueto, ad una discussione globale. Giova qui difatti ribadire che, a fronte di una questione squisitamente medica, secondo la giurisprudenza federale, per determinare il grado di inabilità lavorativa di un assicurato che soffre di diverse patologie (come nel caso di specie)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2.6.  Da ultimo, il TCA osserva che risulta prematuro esaminare in questa sede la fattispecie con riferimento alle ulteriori censure ricorsuali (in particolare, che, nel caso di specie, il reddito da invalido dovrebbe essere quello che l’assicurato percepisce nella sua attività abituale di cuoco al 20% e non quella derivante dalle tabelle TA 1 rispettivamente che andrebbe in ogni caso considerata una deduzione sociale del 10%: cfr. doc. I, pag. 4) sollevate dalla patrocinatrice in questa sede. Tali questioni dovranno essere affrontate se e quando dovesse emergere che l’esercizio di un’attività lucrativa (parziale) è esigibile dal punto di vista medico (DTF 138 V 457; STCA 32.2019.63 del 27 aprile 2020, consid. 2.13; STCA 32.2019.63 del 27 aprile 2020, consid. 2.13). Per motivi di economia processuale, il TCA ricorda il riserbo di cui deve dare prova il giudice delle assicurazioni sociali nel sostituire il proprio apprezzamento a quello dell’amministrazione (cfr. DTF 137 V 71, 132 V 393 consid. 3.3), nell’ambito delle decurtazioni sociali operate dall’UAI. Per quanto concerne la tesi della patrocinatrice dell’assicurato, secondo la quale il grado di invalidità andrebbe stabilito prendendo in considerazione la perdita di guadagno effettivamente patita dal suo cliente svolgendo l’attività abituale di cuoco al 20%, il TCA rileva sin d’ora che, conformemente alla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RAMI 1991 U 130, p. 270ss. consid. 4a). Questa condizione è espressione del principio generale del diritto delle assicurazioni sociali che obbliga l'assicurato ad intraprendere tutto quanto può da lui essere ragionevolmente preteso per ovviare nel miglior modo possibile alle conseguenze delle sue affezioni invalidanti (DTF 113 V 28 consid. 4a e riferimenti; cfr. anche DTF 115 V 52 consid. 3d e 114 V 285 consid. 3). Ad esempio in una sentenza U 334/02 del 22 aprile 2003 l’Alta Corte ha rilevato: " (…) Lorsque l'activité exercée après la survenance de l'atteinte à la santé ne met pas pleinement en valeur la capacité de travail résiduelle de l'assuré, ce dernier peut être tenu de quitter son poste de travail, voire d'abandonner son entreprise au profit d'une activité plus lucrative (arrêt A. du 10 décembre 2001, U 74/ 01; RCC 1983 p 246). " (cfr. STCA 32.2018.143 del 18 giugno 2019, consid. 2.6). 2.7.   Alla luce di quanto appena esposto (cfr., in particolare, consid. 2.5), il TCA rinuncia anche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32.2019.48 del 14 ottobre 2019, consid. 2.7; STCA 32.2018.216 del 25 ottobre 2019, consid. 2.10).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In concreto, visto l’esito del ricorso (il rinvio con esito aperto equivale a piena vittoria: da ultimo STF 8C_859/2018 del 26 novembre 2018 consid. 5 con rinvio a DTF 137 V 210 consid. 7.1 pag. 271 con riferimento; STCA 32.2018.216 del 25 ottobre 2019, consid. 2.11), le spese per fr. 500.- vanno messe a carico dell’UAI che verserà fr. 2’100.- al ricorrente a titolo di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32.2017.99 dell'8 gennaio 2018; STCA 32.2018.158 del 30 luglio 2019, consid. 2.11; STCA 32.2019.47 del 24 febbraio 2020, consid. 2.12).</w:t>
      </w:r>
    </w:p>
    <w:p>
      <w:r>
        <w:rPr>
          <w:b/>
        </w:rPr>
        <w:t>E. 28</w:t>
      </w:r>
    </w:p>
    <w:p>
      <w:r>
        <w:t>ottobre 2019 (doc. D-6), giusta il quale:</w:t>
      </w:r>
    </w:p>
    <w:p>
      <w:r>
        <w:t>Lassicurato ha versato inoltre agli atti il referto medico del 7 novembre 2019 relativo allelettroneuromiografia (ENMG) del 5 novembre 2019 del dr.ssa med. __________ del __________ (doc. D-2 e D-3), giusta il quale: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