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32.2019.188 vom 9. Mai 2018</w:t>
      </w:r>
    </w:p>
    <w:p>
      <w:r>
        <w:t>TI Tribunale d'appello, 2018-05-09, IT</w:t>
      </w:r>
    </w:p>
    <w:p>
      <w:r>
        <w:rPr>
          <w:b/>
        </w:rPr>
        <w:t xml:space="preserve">Quelle: </w:t>
      </w:r>
      <w:r>
        <w:t>https://mcp.opencaselaw.ch/entscheid/ti_gerichte_32.2019.188</w:t>
      </w:r>
    </w:p>
    <w:p>
      <w:r>
        <w:t>FR: TI_GERICHTE 32.2019.188 du 9 mai 2018</w:t>
      </w:r>
    </w:p>
    <w:p>
      <w:r>
        <w:t>IT: TI_GERICHTE 32.2019.188 del 9 maggio 2018</w:t>
      </w:r>
    </w:p>
    <w:p>
      <w:pPr>
        <w:pStyle w:val="Heading2"/>
      </w:pPr>
      <w:r>
        <w:t>Volltext</w:t>
      </w:r>
    </w:p>
    <w:p>
      <w:r>
        <w:t>Incarto n.32.2019.188</w:t>
      </w:r>
    </w:p>
    <w:p>
      <w:r>
        <w:t>rg/gm</w:t>
      </w:r>
    </w:p>
    <w:p>
      <w:r>
        <w:t>Lugano</w:t>
      </w:r>
    </w:p>
    <w:p>
      <w:r>
        <w:t>22 novembre 2019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sullistanza di revisione del 23 ottobre 2019 di</w:t>
      </w:r>
    </w:p>
    <w:p>
      <w:r>
        <w:t>RI 1</w:t>
      </w:r>
    </w:p>
    <w:p>
      <w:r>
        <w:t>in relazione alla sentenza emessa il 15 novembre 2018 da questo Tribunale (inc. 32.2018.133) nella causa da lui promossa con ricorso del 13 agosto 2018</w:t>
      </w:r>
    </w:p>
    <w:p>
      <w:r>
        <w:t>contro</w:t>
      </w:r>
    </w:p>
    <w:p>
      <w:r>
        <w:t>la decisione del 9 maggio 2018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</w:t>
      </w:r>
    </w:p>
    <w:p>
      <w:r>
        <w:t>giudice Raffaele Guffi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