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32.2019.181 vom 3. September 2019</w:t>
      </w:r>
    </w:p>
    <w:p>
      <w:r>
        <w:t>TI Tribunale d'appello, 2019-09-03, IT</w:t>
      </w:r>
    </w:p>
    <w:p>
      <w:r>
        <w:rPr>
          <w:b/>
        </w:rPr>
        <w:t xml:space="preserve">Quelle: </w:t>
      </w:r>
      <w:r>
        <w:t>https://mcp.opencaselaw.ch/entscheid/ti_gerichte_32.2019.181</w:t>
      </w:r>
    </w:p>
    <w:p>
      <w:r>
        <w:t>FR: TI_GERICHTE 32.2019.181 du 3 septembre 2019</w:t>
      </w:r>
    </w:p>
    <w:p>
      <w:r>
        <w:t>IT: TI_GERICHTE 32.2019.181 del 3 settembre 2019</w:t>
      </w:r>
    </w:p>
    <w:p>
      <w:pPr>
        <w:pStyle w:val="Heading2"/>
      </w:pPr>
      <w:r>
        <w:t>Volltext</w:t>
      </w:r>
    </w:p>
    <w:p>
      <w:r>
        <w:t>Incarto n.32.2019.181</w:t>
      </w:r>
    </w:p>
    <w:p>
      <w:r>
        <w:t>cs</w:t>
      </w:r>
    </w:p>
    <w:p>
      <w:r>
        <w:t>Lugano</w:t>
      </w:r>
    </w:p>
    <w:p>
      <w:r>
        <w:t>9 dicembre 2019</w:t>
      </w:r>
    </w:p>
    <w:p>
      <w:r>
        <w:t>In nomedella Repubblica e CantoneTicino</w:t>
      </w:r>
    </w:p>
    <w:p>
      <w:r>
        <w:t>Il giudice delegato del Tribunale cantonale delle assicurazioni</w:t>
      </w:r>
    </w:p>
    <w:p>
      <w:r>
        <w:t>Giudice Ivano Ranzanici</w:t>
      </w:r>
    </w:p>
    <w:p>
      <w:r>
        <w:t>con redattore:</w:t>
      </w:r>
    </w:p>
    <w:p>
      <w:r>
        <w:t>Christian Steffen, vicecancelliere</w:t>
      </w:r>
    </w:p>
    <w:p>
      <w:r>
        <w:t>segretario:</w:t>
      </w:r>
    </w:p>
    <w:p>
      <w:r>
        <w:t>Gianluca Menghetti</w:t>
      </w:r>
    </w:p>
    <w:p>
      <w:r>
        <w:t>statuendo sul ricorso dell8 ottobre 2019 di</w:t>
      </w:r>
    </w:p>
    <w:p>
      <w:r>
        <w:t>RI 1</w:t>
      </w:r>
    </w:p>
    <w:p>
      <w:r>
        <w:t>contro</w:t>
      </w:r>
    </w:p>
    <w:p>
      <w:r>
        <w:t>la decisione del 3 settembre 2019 emanata da</w:t>
      </w:r>
    </w:p>
    <w:p>
      <w:r>
        <w:t>Ufficio assicurazione invalidità,6501 Bellinzona</w:t>
      </w:r>
    </w:p>
    <w:p>
      <w:r>
        <w:t>in materia di assicurazione federale per l'invalidità</w:t>
      </w:r>
    </w:p>
    <w:p>
      <w:r>
        <w:t>consideratoin fatto e in diritto che</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w:t>
      </w:r>
    </w:p>
    <w:p>
      <w:r>
        <w:t>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w:t>
      </w:r>
    </w:p>
    <w:p>
      <w:r>
        <w:t>per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w:t>
      </w:r>
    </w:p>
    <w:p>
      <w:r>
        <w:t>secondo la giurisprudenza del TFA (dal 1° gennaio 2007: TF),nei casi in cui il calcolo dei redditi risulti particolarmente difficile, occorre che la graduazione dellinvalidità avvenga ispirandosi al metodo specifico applicabile alle persone non esercitanti unattività lucrativa (art. 27 OAI), eccezionalmente secondo il metodo straordinario;</w:t>
      </w:r>
    </w:p>
    <w:p>
      <w:r>
        <w:t>capita in particolare nel caso di indipendenti, dove un calcolo sufficientemente preciso dei redditi da porre a confronto sia escluso (Pratique VSI 1998 p. 121; pag. 255; SVR 1996 IV Nr. 74 p. 213ss. consid. 2b; RAMI 1996 p. 36 consid. 3b e 3c; DTF 104 V 137 consid.2c; DTF 97 V 57; DTF 104 V 139; DTF 105 V 154ss consid. 2a);</w:t>
      </w:r>
    </w:p>
    <w:p>
      <w:r>
        <w:t>linvalidità è allora stabilita secondo la riduzione del rendimento nella situazione concreta in cui si svolge lattività (Pratique VSI 1999 pag. 121). Perciò linvalidità sarà valutata considerando le ripercussioni economiche dovute alla riduzione del rendimento sulla situazione concreta dove si svolge lattività dellassicurato divenuto invalido (DTF 105 V 151);</w:t>
      </w:r>
    </w:p>
    <w:p>
      <w:r>
        <w:t>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consid.1a; SVR 1996 IV Nr. 74 p. 213ss consid. 2b; DTF 105 V 151, 104 V 138).Una determinata limitazione della capacità produttiva funzionale può, non deve tuttavia forzatamente, produrre una perdita di guadagno della medesima entità (Pratique VSI 1998 pag. 123 consid. 1a);</w:t>
      </w:r>
    </w:p>
    <w:p>
      <w:r>
        <w:t>secondo giurisprudenza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w:t>
      </w:r>
    </w:p>
    <w:p>
      <w:r>
        <w:t>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w:t>
      </w:r>
    </w:p>
    <w:p>
      <w:r>
        <w:t>per questo motivo l'art. 8 cpv. 3 LPGA (cfr. art. 5 LAI) parifica l'impedimento di svolgere le proprie mansioni consuete all'incapacità al guadagno (metodo specificodi calcolo dell'invalidità; SVR 1996 IV Nr. 76 consid. 1; RCC 1986 pag. 246 consid. 2b; DTF 104 V 136);</w:t>
      </w:r>
    </w:p>
    <w:p>
      <w:r>
        <w:t>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w:t>
      </w:r>
    </w:p>
    <w:p>
      <w:r>
        <w:t>lart. 27 cpv. 1 prima frase OAI, nel tenore in vigore dal 1° gennaio 2018, precisa a sua volta che per mansioni consuete di una persona senza attività lucrativa occupata nell'economia domestica sintendono gli usuali lavori domestici nonché la cura e lassistenza ai familiari;</w:t>
      </w:r>
    </w:p>
    <w:p>
      <w:r>
        <w:t>infine va rammentato che perlart. 17 cpv. 1 LPGA se il grado dinvalidità del beneficiario della rendita subisce una notevole modificazione, per il futuro la rendita è aumentata o ridotta proporzionalmente o soppressa, dufficio o su richiesta;</w:t>
      </w:r>
    </w:p>
    <w:p>
      <w:r>
        <w:t>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w:t>
      </w:r>
    </w:p>
    <w:p>
      <w:r>
        <w:t>una semplice valutazione diversa delle circostanze di fatto, che sono rimaste sostanzialmente invariate, non giustifica comunque una revisione ai sensi dellart. 17 LPGA (DTF 112 V 372 consid. 2b e 390 consid. 1b; vedi anche STFA I 8/04 del 12 ottobre 2005 pubblicata in Plaidoyer 1/06, pag. 64);</w:t>
      </w:r>
    </w:p>
    <w:p>
      <w:r>
        <w:t>nel caso di specie la rendita dellinsorgente è stata calcolata secondo il metodo straordinario;</w:t>
      </w:r>
    </w:p>
    <w:p>
      <w:r>
        <w:t>in sede di ricorso linteressato ha tuttavia sostenuto di aver cessato la propria attività lucrativa (doc. I e IX), producendo varia documentazione a sostegno della sua tesi (allegati a doc. I e IX);</w:t>
      </w:r>
    </w:p>
    <w:p>
      <w:r>
        <w:t>lUAI, alla luce delle affermazioni del ricorrente e della documentazione prodotta, rileva giustamente la necessità di effettuare gli approfondimenti del caso e di rivedere il metodo applicabile per il calcolo del grado dinvalidità (doc. XI: [] metodo straordinario non più attuabile []);</w:t>
      </w:r>
    </w:p>
    <w:p>
      <w:r>
        <w:t>per quanto concerne laspetto medico, il medico SMR, dr. med. __________, sulla base dei referti del 2 ottobre 2019 del dr. med. __________ (doc. A7.1) e del 3 ottobre 2019 del dr. med. __________ (doc. A8 e A8.1), prodotti in sede di ricorso, ha rilevato che vi potrebbe essere stato un peggioramento dello stato di salute del ricorrente, documentato tuttavia solo da ottobre 2019 (doc. VI/1);</w:t>
      </w:r>
    </w:p>
    <w:p>
      <w:r>
        <w:t>di conseguenza anche la situazione valetudinaria deve nuovamente essere approfondita ed esaminata per stabilire se e da quando vi è stata una modifica dello stato di salute con incidenza sullincapacità lavorativa;</w:t>
      </w:r>
    </w:p>
    <w:p>
      <w:r>
        <w:t>ritenuta la necessità di procedere con ulteriori accertamenti sia in ambito economico che medico, come chiesto dallUAI (doc. XI) e dal ricorrente (doc. I), la decisione impugnata va annullata e lincarto rinviato allamministrazione;</w:t>
      </w:r>
    </w:p>
    <w:p>
      <w:r>
        <w:t>visto lesito del ricorso le ulteriori censure sollevate dallassicurato, segnatamente lasserita violazione del diritto di essere sentito, non devono essere esaminate, né devono essere assunte in questa sede le prove da lui richieste;</w:t>
      </w:r>
    </w:p>
    <w:p>
      <w:r>
        <w:t>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il rinvio degli atti conesito aperto equivale a piena vittoria (DTF 137 V 210 consid. 7.1; sentenza 8C_23/2019 del 6 agosto 2019, consid. 6),ciò che rende priva di oggetto la richiesta dellinsorgente tendente allesonero dal pagamento di tasse e spese giudiziarie (cfr. DTF 124 V 310, consid. 6);</w:t>
      </w:r>
    </w:p>
    <w:p>
      <w:r>
        <w:t>Per questi motivi</w:t>
      </w:r>
    </w:p>
    <w:p>
      <w:r>
        <w:t>dichiara e pronuncia</w:t>
      </w:r>
    </w:p>
    <w:p>
      <w:r>
        <w:t>§ La decisione impugnata è annullata e lincarto rinviato allUAI per ulteriori accertamenti.</w:t>
      </w:r>
    </w:p>
    <w:p>
      <w:r>
        <w:t>Per il Tribunale cantonale delle assicurazioni</w:t>
      </w:r>
    </w:p>
    <w:p>
      <w:r>
        <w:t>Il giudice delegato                                                Il segretario</w:t>
      </w:r>
    </w:p>
    <w:p>
      <w:r>
        <w:t>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