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32.2019.156 vom 19. Juli 2019</w:t>
      </w:r>
    </w:p>
    <w:p>
      <w:r>
        <w:t>TI Tribunale d'appello, 2019-07-19, IT</w:t>
      </w:r>
    </w:p>
    <w:p>
      <w:r>
        <w:rPr>
          <w:b/>
        </w:rPr>
        <w:t xml:space="preserve">Quelle: </w:t>
      </w:r>
      <w:r>
        <w:t>https://mcp.opencaselaw.ch/entscheid/ti_gerichte_32.2019.156</w:t>
      </w:r>
    </w:p>
    <w:p>
      <w:r>
        <w:t>FR: TI_GERICHTE 32.2019.156 du 19 juillet 2019</w:t>
      </w:r>
    </w:p>
    <w:p>
      <w:r>
        <w:t>IT: TI_GERICHTE 32.2019.156 del 19 luglio 2019</w:t>
      </w:r>
    </w:p>
    <w:p>
      <w:pPr>
        <w:pStyle w:val="Heading2"/>
      </w:pPr>
      <w:r>
        <w:t>Erwägungen</w:t>
      </w:r>
    </w:p>
    <w:p>
      <w:r>
        <w:rPr>
          <w:b/>
        </w:rPr>
        <w:t>E. 49</w:t>
      </w:r>
    </w:p>
    <w:p>
      <w:r>
        <w:t>cpv. 2 LOG (cfr. pro multis STF 9C_699/2014 del 31 agosto 2015, 9C; STF 9C_211/ 2010 del 18 febbraio 2011; STF 9C_792/2007 del 7 novembre 2008). 2.2   Oggetto del contendere è sapere se può essere riconosciuta all’assicurato la buona fede quale (prima) condizione per il condono dell’obbligo di restituire fr. 2’343, corrispondenti alle prestazioni (rendite per il figlio __________) indebitamente percepite dal 1. marzo 2019 al 31 maggio 2019. Con la risposta di causa, come detto, l’Ufficio AI ha precisato che la procedura d’incasso non verrà messa in atto prima della crescita in giudicato della decisione di condono. Per il che la domanda di ripristino dell’effetto sospensivo formulata con il gravame non necessita di ulteriore disamina. 2.3 2.3.1  Ai sensi dell’art. 25 cpv. 1 LPGA le prestazioni indebitamente riscosse devono essere restituite. La restituzione non deve essere chiesta se l'interessato era in buona fede e verrebbe a trovarsi in gravi difficoltà (cfr. anche art. 4 OPGA). Relativamente alla buona fede, la giurisprudenza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(STF 8C_865/ 2008 del 27 gennaio 2009 consid. 4; STFA C 292/02 del 15 marzo 2004 consid. 2.3; SVR 2003 IV Nr. 4 p. 10; Pratique VSI 1994 p. 126; DTF 122 V 221 = Pratique VSI 1996 p. 269). La buona fede non è compatibile con un comportamento di negligenza grave da parte dell'assicurato (Meyer-Blaser, Die Rückerstattung von Sozialversicherungsleistungen, in RSJB 1995, p. 481). Compete al giudice,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(per es. violazione dell'obbligo di annunciare o di informare, artt. 31 LPGA e 77 OAI) siano imputabili a comportamento doloso o negligenza grave dell'interessato. Viceversa, l'assicurato può prevalerse-ne quando l'atto o l'omissione colpevole siano costitutivi unicamente di una violazione lieve dell'obbligo di annunciare o di informare (STF 8C_865/2008 del 27 gennaio 2009 consid. 4; STFA C 292/02 del 15 marzo 2004, consid. 2.3; SVR 2007 ALV Nr. 5 p.17; DTF 118 V 218, 112 V 105, 110 V 180; Meyer, Rechtsprechung des Bundesgerichtes zum IVG, 2010, p. 407) oppure se non ha violato tale obbligo (Meyer-Blaser, op. cit., pp. 481s). 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 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Sempre per quanto concerne la nozione di buona fede, la giurisprudenza sviluppata a proposito del vecchio art. 47 cpv. 1 LAVS (abrogato con l'entrata in vigore della LPGA il 1° gennaio 2003) vale per analogia anche in materia di prestazioni complementari (DTF 133 V 579 consid. 4.1; Pétremand, cit., art. 25 n. 65s).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2.3.2   Nel caso concreto, per i motivi in appresso è da ritenere non esservi stata una violazione colpevole da parte dell’assicurato dell’obbligo di informare l’amministrazione circa l’interruzione della formazione del figlio __________. Le seppure generiche indicazioni contenute nello scritto 1. marzo 2019 trasmesso (per invio raccomandato recapitato il 4 marzo 2019) all’Ufficio AI – e per esso alla sua direttrice – nel quale il rappresentante dell’assicurato ha comunicato che “ nel quadro del precetto legale di informazione mi rivolgo a lei, nella mia qualità di patrocinatore legale del prefato per pratica AI, per comunicare che la triste vicenda del fatto di sangue di __________ (lunedì, __________ [recte 25, ndr] __________ ), su cui si è diffusamente soffermata stampa in questi giorni, è da rapportare alla persona e alla famiglia del mio assistito, beneficiario di rendita AI ” (doc. 60 inc. Cassa), avrebbe dovuto indurre l’amministrazione ad esperire i necessari accertamenti (per es. richiedere ulteriori informazioni al rappresentante o presso terzi) atti a chiarire la situazione con riferimento al diritto dell’assicurato a prestazioni. La giurisprudenza federale ha infatti precisato che, oltre a non dover essere poste esigenze troppo elevate quo al modo di comunicare cambiamenti giusta l’art. 77 OAI (Müller, Das Verwaltungsverfahren in der IV, 2010, n. 1199 p. 229 e ivi riferimenti), incombe all’amministrazione, in applicazione del principio inquisitorio, chiarire tramite le necessarie misure d’istruzione e l’assunzione di ulteriori informazioni, quali siano le conseguenze legate alla comunicazione da parte di un assicurato di nuove circostanze o eventi che interessano la sua posizione quale beneficiario di prestazioni (SVR 2007 IV  nr. 24 consid. 5, SVR 1995 EL nr. 17 consid. 7b; STAF C-5365/2009-C-6893/2009 del 25 febbraio 2011 consid. 11). Tramite lo scritto 1. marzo 2019 nel caso in esame l’assicurato ha quindi adempiuto, in modo tempestivo, al proprio obbligo di comunicazione imposto dalla legge (artt. 31 LPGA e 77 OAI), pur non avendo indicato nel dettaglio (indipendentemente dal fatto che né l’assicurato né il suo rappresentante risultino avere una specifica formazione giuridica) la modifica rilevante per la determinazione del diritto a prestazioni. 2.3.3  Tuttavia, l’adempimento dell’obbligo di informare non comporta eo ipso il riconoscimento della buona fede, la quale, come accennato (cfr. supra consid. 2.2.1) dev’essere data nel momento della percezione delle prestazioni non dovute. La buona fede può infatti non essere data nel caso in cui, l’assicurato avendo adempiuto al proprio obbligo di annuncio, il versamento indebito è da ricondurre ad un errore dell’amministrazione, decisiva essendo in tal caso la questione di sapere se il beneficiario di prestazioni, applicando la dovuta diligenza,       avrebbe dovuto riconoscere l’errore e segnalare tempestivamente ciò all’amministrazione (sul punto cfr. Dormann, in Basler Kommentar, Allgemeiner Teil des Sozialversicherungsrechts, 2020, art. 25 n. 73 e 76; Kieser, ATSG-Kommentar, 2020, art. 25 n. 72; STF 9C_269/2016 del 21 giugno 2016 consid. 2, 9C_385/2013 del 19 settembre 2013 consid. 4.4; STFA P 62 del 6 giugno 20095 consid. 4.3). Nel caso in disamina non è dato di sapere – al riguardo non è stato effettuato accertamento alcuno né tale aspetto risulta essere stato oggetto d’esame e tantomeno di decisione da parte dell’amministrazione – se ed in che misura nelle particolari circostanze del caso all’assicurato possa essere rimproverata, tenuto conto di tutte circostanze e della sua situazione personale, una mancanza di diligenza ossia una (lieve oppure grave) negligenza (tenuto conto se del caso anche del fatto che egli era munito di un rappresentante nei confronti dell’Ufficio AI per ogni pratica relativa a prestazioni AI da febbraio 2017, cfr. procura sub doc. H) nel non avere reagito immediatamente e avvisato di conseguenza l’amministrazione del fatto che, malgrado la comunicazione del 1. marzo 2019, egli abbia continuato – per errore dell’amministrazione – a percepire le prestazioni per il figlio da marzo a maggio 2019. Come accennato (cfr. supra consid. 2.2.1), l a misura della diligenza necessaria deve essere valutata secondo criteri oggettivi, non senza tuttavia considerare elementi soggettivi quali in particolare la capacità di discernimento, lo stato di salute, il livello di formazione (oltre alla giurisprudenza già citata, sul punto v. in particolare anche STF 9C_286/2010 consid. 2.1; SVR 2008 AHV Nr. 13 S. 41: DTF 112 V 97 consid. 2c; Frey, in AHVG/IVG Kommentar, 2018, art. 25 ATSG n. 12, p. 561; Pétremand, cit., art. 25 n. 69 p. 376). 2.3.4  In virtù di quanto precede, onde addivenire ad un chiaro ed affidabile giudizio sulla buona fede dell’assicurato, la fattispecie necessita di essere ulteriormente indagata e chiarita. C onsiderato come gli accertamenti eseguiti dall’amministrazione paiono incompleti, si giustifica il rinvio degli atti (DTF 137 V 210; STCA 32. 2011.107 del 27 ottobre 2011, 32.2011.115 del 27 ottobre 2011 ) affinché essa proceda nel senso sopra indicato. In esito alla nuova istruttoria dovrà essere emessa una nuova decisione soggetta a ricorso ai sensi degli artt. 56 e segg. LPGA. 2.4 Giusta gli artt.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di procedura di fr. 500 sono poste a carico dell'Ufficio AI. Rappresentato in causa, il ricorrente ha diritto ad un'indennità per ripetibili (art. 61 lett. g LPGA e art.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