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32.2019.154 vom 25. Juni 2019</w:t>
      </w:r>
    </w:p>
    <w:p>
      <w:r>
        <w:t>TI Tribunale d'appello, 2019-06-25, IT</w:t>
      </w:r>
    </w:p>
    <w:p>
      <w:r>
        <w:rPr>
          <w:b/>
        </w:rPr>
        <w:t xml:space="preserve">Quelle: </w:t>
      </w:r>
      <w:r>
        <w:t>https://mcp.opencaselaw.ch/entscheid/ti_gerichte_32.2019.154</w:t>
      </w:r>
    </w:p>
    <w:p>
      <w:r>
        <w:t>FR: TI_GERICHTE 32.2019.154 du 25 juin 2019</w:t>
      </w:r>
    </w:p>
    <w:p>
      <w:r>
        <w:t>IT: TI_GERICHTE 32.2019.154 del 25 giugno 2019</w:t>
      </w:r>
    </w:p>
    <w:p>
      <w:pPr>
        <w:pStyle w:val="Heading2"/>
      </w:pPr>
      <w:r>
        <w:t>Erwägungen</w:t>
      </w:r>
    </w:p>
    <w:p>
      <w:r>
        <w:rPr>
          <w:b/>
        </w:rPr>
        <w:t>E. 21</w:t>
      </w:r>
    </w:p>
    <w:p>
      <w:r>
        <w:t>settembre 2015,aveva potuto riprendere in misura completalabituale professione svoltadal giugno 2015) e, dallaltra parte, chelassicuratore indennità giornaliera per malattia ha confermato di versarle da settembre 2017 ininterrottamente le proprie prestazioni (doc. AI 34/125)vè effettivamente da ritenere che la decisione del 22 maggio 2018 con cui non è entrata nel merito della nuova domanda fosseindubbiamente errata e che pertanto,come addotto dal medesimo Ufficio AI,(...)risultano realizzate le condizioni per l'entrata in materia sulla richiesta di riconsiderazione della decisione del 22 maggio 2018()(IV, pag. 3);</w:t>
      </w:r>
    </w:p>
    <w:p>
      <w:r>
        <w:t>-   onde addivenire ad un chiaro e completo giudizio sulla situazione invalidante dellassicurata, la situazione medica ed economica vanno indagate e a tal finecosì come da proposta formulata con la risposta di causa e alla quale linsorgente ha aderitola decisione impugnata va annullata e gli atti rinviati allamministrazione affinché si pronunci nuovamente sulla domanda di prestazioni del 4 aprile 2018 (doc. AI 32/115-123);</w:t>
      </w:r>
    </w:p>
    <w:p>
      <w:r>
        <w:t>-   quanto alla richiesta già formulata da RA 1 nel succitato scritto del 14 ottobre 2019 e meglio che() una più che probabile prestazione di rendita, andrà conteggiata, non già trascorsi sei mesi da gennaio 2019 come figura nel nostro gravame (anche qui erroneamente), ma piuttosto trascorsi sei mesi da aprile 2018 ()(VIII), che tale questione dovrà essere esaminata nellambito della nuova decisione, che dovrà essere emessa dallUfficio AI nel rispetto dei dettami dellart. 57a LAI, soggetta a ricorso ai sensi degli artt. 56 e segg. LPGA;</w:t>
      </w:r>
    </w:p>
    <w:p>
      <w:r>
        <w:t>-giusta gli artt.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w:t>
      </w:r>
    </w:p>
    <w:p>
      <w:r>
        <w:t>-   visto l'esito della lite, le spese di procedura di fr. 500 sono poste a carico dell'Ufficio AI;</w:t>
      </w:r>
    </w:p>
    <w:p>
      <w:r>
        <w:t>-   laricorrente, patrocinata in causa, ha diritto ad un'indennità per ripetibili (art. 61 lett. g LPGA e art. 30 cpv. 1 Lptca) che appare equo stabilire in fr. 1'500.</w:t>
      </w:r>
    </w:p>
    <w:p>
      <w:r>
        <w:t>dichiara e pronuncia</w:t>
      </w:r>
    </w:p>
    <w:p>
      <w:r>
        <w:t>1.-   Il ricorso èaccolto.</w:t>
      </w:r>
    </w:p>
    <w:p>
      <w:r>
        <w:t>§    La decisione del 25 giugno 2019 è annullata.</w:t>
      </w:r>
    </w:p>
    <w:p>
      <w:r>
        <w:t>§§ Gli atti sono rinviati allUfficio AI perché proceda conforme-mente ai considerandi.</w:t>
      </w:r>
    </w:p>
    <w:p>
      <w:r>
        <w:t>2.-   Le spese di procedura di fr. 500 sono poste a carico dellUfficio AI che verserà alla ricorrente fr. 1500.-- a titolo di ripetibili (IVA inclusa).</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w:t>
      </w:r>
    </w:p>
    <w:p>
      <w:r>
        <w:t>Al ricorso dovrà essere allegata la decisione impugnata e la busta in cui il ricorrente l'ha ricevuta.</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