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32.2019.146 vom 14. Juni 2019</w:t>
      </w:r>
    </w:p>
    <w:p>
      <w:r>
        <w:t>TI Tribunale d'appello, 2019-06-14, IT</w:t>
      </w:r>
    </w:p>
    <w:p>
      <w:r>
        <w:rPr>
          <w:b/>
        </w:rPr>
        <w:t xml:space="preserve">Quelle: </w:t>
      </w:r>
      <w:r>
        <w:t>https://mcp.opencaselaw.ch/entscheid/ti_gerichte_32.2019.146</w:t>
      </w:r>
    </w:p>
    <w:p>
      <w:r>
        <w:t>FR: TI_GERICHTE 32.2019.146 du 14 juin 2019</w:t>
      </w:r>
    </w:p>
    <w:p>
      <w:r>
        <w:t>IT: TI_GERICHTE 32.2019.146 del 14 giugno 2019</w:t>
      </w:r>
    </w:p>
    <w:p>
      <w:pPr>
        <w:pStyle w:val="Heading2"/>
      </w:pPr>
      <w:r>
        <w:t>Regeste</w:t>
      </w:r>
    </w:p>
    <w:p>
      <w:r>
        <w:t>Nuova domanda. Viste le risultanze della periza SAM con complemento e considerata l'abilità lavorativa dell'80% nell'attività abituale e in un'altra adeguata, a ragione l'Ufficio AI ha negato il diritto a prestazioni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b) Come giudica lo spirito di collaborazione dimostrato dallA. durante le terapie (eventualmente prendere contatto con lo psichiatra curante).</w:t>
      </w:r>
    </w:p>
    <w:p>
      <w:r>
        <w:t>Sostanzialmente adeguato.</w:t>
      </w:r>
    </w:p>
    <w:p>
      <w:r>
        <w:t>7) Ritiene possibile effettuare provvedimenti dintegrazione professionale e/o riformazione professionale?</w:t>
      </w:r>
    </w:p>
    <w:p>
      <w:r>
        <w:t>Non vi sono controindicazioni assolute dal profilo psicopatologico, ma con i limiti sopradescritti.</w:t>
      </w:r>
    </w:p>
    <w:p>
      <w:r>
        <w:t>8) Ritiene che lassicurato/a sia in grado di svolgere altre attività? Se sì, descrivere i limiti dell'A. e le caratteristiche che deve rispettare l'attività lavorativa adatta e la capacità lavorativa in % in tale attività adatta, specificando da quando.</w:t>
      </w:r>
    </w:p>
    <w:p>
      <w:r>
        <w:t>Lassicurato è in grado di svolgere altre attività a partire da subito al 80%.</w:t>
      </w:r>
    </w:p>
    <w:p>
      <w:r>
        <w:t>9) In quale misura l'A. può svolgere l'attività di casalingo/a (motivare la percentuale).</w:t>
      </w:r>
    </w:p>
    <w:p>
      <w:r>
        <w:t>L'assicurato può svolgere l'attività di casalingo senza limitazione alcuna, dunque al 100%.</w:t>
      </w:r>
    </w:p>
    <w:p>
      <w:r>
        <w:t>10) Ha constatato una discrepanza tra i sintomi descritti e la valutazione clinica?</w:t>
      </w:r>
    </w:p>
    <w:p>
      <w:r>
        <w:t>No.</w:t>
      </w:r>
    </w:p>
    <w:p>
      <w:r>
        <w:t>11) In corso di revisione va valutato se è subentrato un miglioramento o peggioramento. Se si constata uno stato di salute invariato o migliorato, definire se è presente un potenziale di integrazione professionale che può essere valorizzato attraverso misure di riallenamento progressivo al lavoro.</w:t>
      </w:r>
    </w:p>
    <w:p>
      <w:r>
        <w:t>Non ravviso controindicazioni assolute ad usufruire di misure di integrazione professionale e di riallenamento al lavoro, ma con i limiti sopradescritti.</w:t>
      </w:r>
    </w:p>
    <w:p>
      <w:r>
        <w:t>12) Distinzione tra le limitazioni funzionali dovute al danno alla salute in questione e le conseguenze (dirette) di fattori non assicurati (motivi estranei all'invalidità quali ad es. disoccupazione, difficoltà economiche, competenze linguistiche carenti, età, basso livello di istruzione o fattori socioculturali).</w:t>
      </w:r>
    </w:p>
    <w:p>
      <w:r>
        <w:t>Le limitazioni funzionali da me ravvisate sono collegate al danno alla salute.</w:t>
      </w:r>
    </w:p>
    <w:p>
      <w:r>
        <w:t>13) Presa in considerazione di motivi di esclusione quali lesagerazione dei sintomi e fenomeni simili nonché della loro entità.</w:t>
      </w:r>
    </w:p>
    <w:p>
      <w:r>
        <w:t>Durante il corso dei due colloqui avuti con l'assicurato non ho mai avuto l'impressione della presenza di sintomi fittizi e/o di simulazione, così come non è mai apparso esagerato nella descrizione dei sintomi di pertinenza psicologica.</w:t>
      </w:r>
    </w:p>
    <w:p>
      <w:r>
        <w:t>[]</w:t>
      </w:r>
    </w:p>
    <w:p>
      <w:r>
        <w:t>15) Valutazione approfondita del profilo attuale e dell'evoluzione nel tempo della personalità dell'Assicurato.</w:t>
      </w:r>
    </w:p>
    <w:p>
      <w:r>
        <w:t>[]</w:t>
      </w:r>
    </w:p>
    <w:p>
      <w:r>
        <w:t>Ad oggi ritengo che diversi aspetti presenti nei vari disturbi di personalità siano evidenti, ma non in misura sufficiente da poter porre una diagnosi indipendente.</w:t>
      </w:r>
    </w:p>
    <w:p>
      <w:r>
        <w:t>Dunque ritengo più appropriata la diagnosi di disturbi di personalità misti F61.0.</w:t>
      </w:r>
    </w:p>
    <w:p>
      <w:r>
        <w:t>Il corteò sintomatologico presentato nel corso degli anni, sarebbe inquadrabile in tale disturbo.</w:t>
      </w:r>
    </w:p>
    <w:p>
      <w:r>
        <w:t>Inoltre ritengo che la sintomatologia ansioso e depressiva mostrata non abbia l'intensità tale per poter porre una diagnosi a sé né nei disturbi ansiosi né nei disturbi depressivi.</w:t>
      </w:r>
    </w:p>
    <w:p>
      <w:r>
        <w:t>La suddetta sintomatologia configurerebbe una sindrome mista ansioso depressiva F41.2.</w:t>
      </w:r>
    </w:p>
    <w:p>
      <w:r>
        <w:t>Entrambi gli aspetti. diagnostici appaiono oggi stabili e piuttosto si assiste alla cronicizzazione degli aspetti psicopatologici.</w:t>
      </w:r>
    </w:p>
    <w:p>
      <w:r>
        <w:t>16. I problemi che ostacolano il reinserimento lavorativo sono dovuti al quadro cinico stesso? Se sì, in che misura?</w:t>
      </w:r>
    </w:p>
    <w:p>
      <w:r>
        <w:t>Sì, nella misura del 20%. ()"(doc. AI 69/274-280)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