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32.2019.145 vom 17. Juni 2019</w:t>
      </w:r>
    </w:p>
    <w:p>
      <w:r>
        <w:t>TI Tribunale d'appello, 2019-06-17, IT</w:t>
      </w:r>
    </w:p>
    <w:p>
      <w:r>
        <w:rPr>
          <w:b/>
        </w:rPr>
        <w:t xml:space="preserve">Quelle: </w:t>
      </w:r>
      <w:r>
        <w:t>https://mcp.opencaselaw.ch/entscheid/ti_gerichte_32.2019.145</w:t>
      </w:r>
    </w:p>
    <w:p>
      <w:r>
        <w:t>FR: TI_GERICHTE 32.2019.145 du 17 juin 2019</w:t>
      </w:r>
    </w:p>
    <w:p>
      <w:r>
        <w:t>IT: TI_GERICHTE 32.2019.145 del 17 giugno 2019</w:t>
      </w:r>
    </w:p>
    <w:p>
      <w:pPr>
        <w:pStyle w:val="Heading2"/>
      </w:pPr>
      <w:r>
        <w:t>Regeste</w:t>
      </w:r>
    </w:p>
    <w:p>
      <w:r>
        <w:t>Metodo misto. Rendita limitata. Problematica somatica e psichiatrica. Rinvio per accertamenti dal profilo somatico</w:t>
      </w:r>
    </w:p>
    <w:p>
      <w:pPr>
        <w:pStyle w:val="Heading2"/>
      </w:pPr>
      <w:r>
        <w:t>Erwägungen</w:t>
      </w:r>
    </w:p>
    <w:p>
      <w:r>
        <w:rPr>
          <w:b/>
        </w:rPr>
        <w:t>E. 13</w:t>
      </w:r>
    </w:p>
    <w:p>
      <w:r>
        <w:t>ottobre 2015 e continua (con prognosi stazionaria) mentre in un'attività adeguata hanno fissato una capacità lavorativa (intesa come riduzione di presenza) nulla dal 13 ottobre 2015, del 50% dal giugno 2017, nulla dal 14 marzo al 12 dicembre 2018 e del 30% dal 13 dicembre 2018 e continua (con prognosi stazionaria) mentre, come casalinga, hanno determinato una capacità lavorativa nulla dal 13 ottobre 2015 e completa dal giugno 2017 e continua (con prognosi stazionaria; doc. 167 pag. 2, incarto AI).</w:t>
      </w:r>
    </w:p>
    <w:p>
      <w:r>
        <w:t>I medici SMR hanno puntualizzato che lassicurata non può svolgere attività pesanti ma solamente le attività rispettose dei limiti di peso sotto indicati con pause supplementari (doc. 167, pag. 3 incarto AI).</w:t>
      </w:r>
    </w:p>
    <w:p>
      <w:r>
        <w:t>I medici SMR hanno precisato un carico massimo di 5 kg, nessuna necessità di alternanza della postura al bisogno, necessità di pause supplementari (inclusa) e l'assenza di difficoltà nello svolgere lavori di precisione (doc. 167, pag. 4 incarto AI). Non è stata prevista alcuna revisione (doc. 167, pag. 4 incarto AI).</w:t>
      </w:r>
    </w:p>
    <w:p>
      <w:r>
        <w:t>Quali Ulteriori risorse e limiti presenti e disponibili, i medici SMR hanno indicato quanto segue:</w:t>
      </w:r>
    </w:p>
    <w:p>
      <w:r>
        <w:t>Quali Osservazioni conclusive, i medici SMR hanno indicato quanto segue:</w:t>
      </w:r>
    </w:p>
    <w:p>
      <w:r>
        <w:t>I medici SMR hanno precisato che Questo rapporto corregge un errore formale del precedente rapporto SMR del 21.01.2019 (recte: 16 gennaio 2019; doc. 167, pag. 4 incarto AI).</w:t>
      </w:r>
    </w:p>
    <w:p>
      <w:r>
        <w:t>Davanti al TCA il patrocinatore dellassicurata ha versato agli atti svariata documentazione medica (cfr. doc. F-H, già agli atti) e, in particolare, il rapporto medico del 25 aprile 2018 del dr. med. __________, specialista FMH in chirurgia ortopedica, della __________ di __________ (doc. G), giusta il quale:</w:t>
      </w:r>
    </w:p>
    <w:p>
      <w:r>
        <w:t>Il rappresentante dellinsorgente ha pure prodotto il rapporto medico del 17 dicembre 2018 (che sostanzialmente riprende i contenuti il precedente rapporto del 18 febbraio 2018) della dr.ssa med. __________, specialista FMH in medicina interna generale, del Centro __________ di __________ (doc. F), giusta il quale:</w:t>
      </w:r>
    </w:p>
    <w:p>
      <w:r>
        <w:t>Nellannotazione del 23 agosto 2019 (doc. IV-1) il medico SMR, dr. med. __________, ha osservato, tra laltro, quanto segue:</w:t>
      </w:r>
    </w:p>
    <w:p>
      <w:r>
        <w:t>Il 16 ottobre 2019 il patrocinatore dellassicurata ha versato agli atti il rapporto medico del 3 ottobre 2019 del dr. med. __________, specialista FMH in chirurgia ortopedica, della __________ di __________ (doc. M), giusta il quale:</w:t>
      </w:r>
    </w:p>
    <w:p>
      <w:r>
        <w:t>Nelle osservazioni del 30 ottobre 2019 (doc. X), lUAI ha osservato quanto segue:</w:t>
      </w:r>
    </w:p>
    <w:p>
      <w:r>
        <w:rPr>
          <w:b/>
        </w:rPr>
        <w:t>E. 44</w:t>
      </w:r>
    </w:p>
    <w:p>
      <w:r>
        <w:t>LPGA), prima di emettere una nuova decisione relativa al diritto alla rendita della ricorrente.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32.2015.82 del 6 giugno 2016). Rilevato come, per le ragioni già diffusamente anziesposte, ci troviamo di fronte ad un accertamento dei fatti lacunoso, si giustifica il rinvio degli atti all’amministrazione affinché metta in atto l’accertamento peritale specialistico ortopedico e/o neurologico esterno necessario al fine di chiarire lo stato di salute dell’assicurata e le sue conseguenze sulla sua capacità lavorativa nell’attività abituale, in attività adeguate e quale casalinga. Alla luce di quanto appena esposto la decisione impugnata va annullata e l’incarto rinviato all’UAI per l’allestimento - previo aggiornamento degli atti medici dal profilo oncologico (tenuto conto della recidiva risultante dai doc. N1-3 e O versati agli atti in questa sede) e psichiatrico - di una perizia ortopedica e/o neurologica. Andrà poi effettuata una discussione globale tra i tre specialisti in questione. In tale contesto è utile ricordare che, a fronte di una questione squisitamente medica, secondo la giurisprudenza federale, per determinare il grado di inabilità lavorativa di un assicurato che soffre di diverse patologie (in particolare, nel caso di specie, in ambito psichiatrico, oncologico, ortopedico e/o neurologico)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Va ancora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(cfr. consid. 1.11 e 2.1) del diritto a una rendita intera di invalidità dal 1° ottobre 2016 (alla scadenza dell'anno di attesa ex art. 28 LAI) al 31 agosto 2017 e dal 1° giugno 2018 al 31 marzo 2019, non vi è spazio per una reformatio in peius (cfr. anche la sentenza 9C_205/2011 del 10 novembre 2011, consid. 8.4, penultimo paragrafo; cfr. STCA 32.2017.20 dell'8 settembre 2017, consid. 2.13 e rinvii ivi citati; STCA 32.2018.158 del 30 luglio 2019, consid. 2.8 e rinvii ivi citati e STCA 32.2018.168 del 14 agosto 2019, consid. 2.9 e rinvii ivi citati). 2.15.   Alla luce di quanto appena esposto (cfr. consid. 2.13-2.14), il TCA rinuncia anche all'assunzione di ulteriori prove (in particolare, all’esperimento di una perizia giudiziaria “ atta a determinare l’incapacità lavorativa della ricorrente con particolare attenzione al profilo ortopedico-funzionale ” richiesta dal patrocinatore dell’assicurata: doc. I, pag. 14).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w:t>
      </w:r>
    </w:p>
    <w:p>
      <w:r>
        <w:rPr>
          <w:b/>
        </w:rPr>
        <w:t>E. 47</w:t>
      </w:r>
    </w:p>
    <w:p>
      <w:r>
        <w:t>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2.16.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da ultimo STF 8C_859/2018 del 26 novembre 2018 consid. 5 con rinvio a DTF 137 V 210 consid. 7.1 pag. 271 con riferimento), le spese per fr. 500.- vanno messe a carico dell’UAI che verserà fr. 2'200.- alla ricorrente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