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32.2018.93 vom 5. April 2018</w:t>
      </w:r>
    </w:p>
    <w:p>
      <w:r>
        <w:t>TI Tribunale d'appello, 2018-04-05, IT</w:t>
      </w:r>
    </w:p>
    <w:p>
      <w:r>
        <w:rPr>
          <w:b/>
        </w:rPr>
        <w:t xml:space="preserve">Quelle: </w:t>
      </w:r>
      <w:r>
        <w:t>https://mcp.opencaselaw.ch/entscheid/ti_gerichte_32.2018.93</w:t>
      </w:r>
    </w:p>
    <w:p>
      <w:r>
        <w:t>FR: TI_GERICHTE 32.2018.93 du 5 avril 2018</w:t>
      </w:r>
    </w:p>
    <w:p>
      <w:r>
        <w:t>IT: TI_GERICHTE 32.2018.93 del 5 aprile 2018</w:t>
      </w:r>
    </w:p>
    <w:p>
      <w:pPr>
        <w:pStyle w:val="Heading2"/>
      </w:pPr>
      <w:r>
        <w:t>Regeste</w:t>
      </w:r>
    </w:p>
    <w:p>
      <w:r>
        <w:t>Necessità di una perizia psichiatrica di decorso prima di potersi esprimere circa lo stato di salute dell'assicurato, migliorato dopo temporaneo peggioramento secondo UAI e peggiorato in maniera duratura invece secondo assicurato stesso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dicembre 2000; STFA I 623/98 del 26 ottobre 1999. Vedi pure: STF 9C_807/2014 del 9 settembre 2015; STF 9C_585/2014 dell8 settembre 2015).</w:t>
      </w:r>
    </w:p>
    <w:p>
      <w:r>
        <w:t>Nel merito</w:t>
      </w:r>
    </w:p>
    <w:p>
      <w:r>
        <w:t>2.6. Per poter graduare l'invalidità, l'amministrazione (o il giudice in caso di ricorso) deve disporre di documenti che devono essere rassegnati dal medico o eventualmente da altri specialisti.</w:t>
      </w:r>
    </w:p>
    <w:p>
      <w:r>
        <w:t>Il compito del medico consiste nel porre un giudizio sullo stato di salute, nell'indicare in quale misura e in quali attività l'assicurato è incapace al lavoro come pure nel fornire un importante elemento di giudizio per determinare quali lavori siano ancora ragionevolmente esigibili dall'assicurato (STF 9C_13/2007 del 31 marzo 2008;DTF 125 V 256consid.4 pag. 261;115 V 133consid. 2 pag. 134;114 V 310consid. 3c pag. 314;105 V 156consid.1 pag. 158). Spetta in seguito al consulente professionale, avuto riguardo alle indicazioni sanitarie, valutare quali attività professionali siano concretamente ipotizzabili (Meyer-Blaser, Rechtsprechung des Bundesgerichts zum IVG, pag. 228 seg.).</w:t>
      </w:r>
    </w:p>
    <w:p>
      <w:r>
        <w:t>Del resto, un rifiuto di una rendita deve ugualmente basarsi su diversi criteri, tra i quali le divergenze tra i dolori descritti e quelli osservati, le allegazioni sull'intensità dei dolori la cui descrizione rimane sul vago, l'assenza di una richiesta di cura, le evidenti divergenze tra le informazioni fornite dal paziente e quelle risultanti dall'anamnesi, il fatto che le lamentele molto dimostrative lascino l'esperto insensibile, come pure le allegazioni di grandi handicap nonostante un ambiente psico-sociale intatto (STCA 32.1999.124 inedita 27 settembre 2001; STFA I 683/03 del 12 marzo 2004 pubblicata in DTF 130 V 352).</w:t>
      </w:r>
    </w:p>
    <w:p>
      <w:r>
        <w:t>2.8.   Chiamato a pronunciarsi, il TCA non può che condividere lopinione espressa dal medico del SMR nelle annotazioni del 12 giugno 2018 a proposito della necessità di procedere con una valutazione peritale psichiatrica di decorso.</w:t>
      </w:r>
    </w:p>
    <w:p>
      <w:r>
        <w:t>A tale riguardo, infatti, nonostante quanto enunciato dal rappresentante legale dellassicurato a proposito della piena forza probante della perizia del __________, questo Tribunale non può, con la necessaria tranquillità, fondare il proprio giudizio unicamente sulle risultanze peritali del 12 giugno 2017 e il successivo complemento peritale del 13 novembre 2017 del __________.</w:t>
      </w:r>
    </w:p>
    <w:p>
      <w:r>
        <w:t>Ciò soprattutto in ragione del fatto che la stessa psichiatra autrice del consulto peritale del __________, chiamata dal SMR ad esprimersi a proposito della prolungata permanenza allestero dellinteressato, ha sì dichiarato la compatibilità di tale soggiorno con lo stato psichico osservato nel giugno 2017, sottolineando tuttavia come naturalmente non sono a conoscenza di eventuali variazioni a livello dello status poiché non ho più avuto modo di vedere il signor RI 1 (cfr. pag. 562 inc. AI, corsivo della redattrice).</w:t>
      </w:r>
    </w:p>
    <w:p>
      <w:r>
        <w:t>Alla luce di tali affermazioni della dr.ssa __________, questo Tribunale ritiene indispensabile una valutazione peritale di decorso da parte della stessa psichiatra del __________ al fine di verificare se effettivamente, come sostenuto dallassicurato e comprovato dal suo psichiatra curante (cfr. doc. G), lo stato valetudinario accertato in sede peritale continui a perdurare inalterato anche dopo il mese di giugno 2017 o se, al contrario, come invece ritenuto dal dr. __________ nel rapporto del SMR del 1° febbraio 2018, si sia verificato a partire da quel momento un netto miglioramento delle condizioni di salute, tale da incidere sulla capacità lavorativa residua (e, nellaffermativa, in che misura) di RI 1 (cfr. doc. 121 e doc. 124).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