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32.2018.71 vom 27. März 2018</w:t>
      </w:r>
    </w:p>
    <w:p>
      <w:r>
        <w:t>TI Tribunale d'appello, 2018-03-27, IT</w:t>
      </w:r>
    </w:p>
    <w:p>
      <w:r>
        <w:rPr>
          <w:b/>
        </w:rPr>
        <w:t xml:space="preserve">Quelle: </w:t>
      </w:r>
      <w:r>
        <w:t>https://mcp.opencaselaw.ch/entscheid/ti_gerichte_32.2018.71</w:t>
      </w:r>
    </w:p>
    <w:p>
      <w:r>
        <w:t>FR: TI_GERICHTE 32.2018.71 du 27 mars 2018</w:t>
      </w:r>
    </w:p>
    <w:p>
      <w:r>
        <w:t>IT: TI_GERICHTE 32.2018.71 del 27 marzo 2018</w:t>
      </w:r>
    </w:p>
    <w:p>
      <w:pPr>
        <w:pStyle w:val="Heading2"/>
      </w:pPr>
      <w:r>
        <w:t>Regeste</w:t>
      </w:r>
    </w:p>
    <w:p>
      <w:r>
        <w:t>Rendita assegnata per tempo limitato, casalinga, metodo di valutazione misto. TCA conferma</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Per l’art. 29 cpv. 1 LAI, infine, i l diritto alla rendita nasce al più presto dopo sei mesi dalla data in cui l’assicurato ha rivendicato il diritto alle prestazioni conformemente all’art. 29 cpv. 1 LPGA. 2.3.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2.4.   Se, però, un assicurato maggiorenne non esercitava un'attività lucrativa prima di essere invalido, l'applicazione nei suoi confronti del concetto d’incapacità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“Changements dans la méthode mixte”, in Sécurité sociale 1/2018 pag. 40 segg. (45-46)). Come emerge dalle spiegazioni pubblicate dall’Ufficio federale delle assicurazioni sociali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w:t>
      </w:r>
    </w:p>
    <w:p>
      <w:r>
        <w:rPr>
          <w:b/>
        </w:rPr>
        <w:t>E. 31</w:t>
      </w:r>
    </w:p>
    <w:p>
      <w:r>
        <w:t>gennaio al 22 febbraio 2018 per i postumi di una “ colecistite acuta litiasica su nota colecistolitiasi” (doc. AI 101). Nemmeno lo stringato scritto del dr. __________ del 10 ottobre 2017 ha evidenziato elementi nuovi rispetto alle precedenti certificazioni che erano state debitamente valutate dal __________ (cfr. in esteso al consid. 2.7; doc. AI 95). Alle conclusioni del __________, confermate anche dal SMR (doc. AI 57, 97), si deve quindi senza riserve aderire, ritenuto che le stesse non sono state smentite da altra documentazione medico-specialistica attestante nuove affezioni o una diversa valenza delle patologie diagnosticate o, ancora, un peggioramento successivo alla perizia e entro la data della decisione contestata, ritenuto che per la giurisprudenza il giudice delle assicurazioni sociali si basa di regola sui fatti che si sono realizzati fino alla resa del provvedimento contestato (DTF 132 V 220 consid. 3.1.1). Va osservato che il principio inquisitorio che regge la procedura davanti al Tribunale delle assicurazioni non è incondizionato, ma trova il suo correlato nell'obbligo delle parti di collaborare, ritenuto che quest'obbligo non può quindi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(magari addirittura in possesso dell’interessato medesimo), quando alla base della lamentela del ricorrente vi sono (solo) affermazioni di carattere soggettivo riguardo ad un presunto peggioramento del suo stato di salute (cfr. STCA 32.2017.174 del 18 luglio 2018, consid. 2.7 con riferimenti). Alla ricorrente va ugualmente ricordato che il solo fatto che uno o più medici curanti esprimano un'opinione contraddittoria non è sufficiente a rimettere in discussione una perizia ordinata dal giudice o dall'amministrazione e a imporre nuovi accertamenti (cfr. STF 9C_721/2012 del 24 ottobre 2012, consid. 4.4 con riferimento e 9C_697/2013 del 15 novembre 2013, consid. 3.2). Ribadite altresì le considerazioni generali che si impongono sul tema dell’attendibilità delle certificazioni dei medici di fiducia [anche se specialisti; cfr. STFA U 202/01 del 7 dicembre 2001; cfr. consid. 2.7;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le certificazioni dello psichiatra curante dell’insorgente non consentono pertanto di dipartirsi dalle conclusioni del __________ e del SMR che si sono espressi in modo coerente e privo di contraddizioni. Questo Tribunale ritiene pertanto che la refertazione medica agli atti contiene elementi chiari e sufficienti per valutare l'incapacità lavorativa dell'assicurata e in particolare le limitazioni da osservare, sino all'emanazione del querelato provvedimento (il 27 marzo 2018, data questa che, come detto, segna il limite temporale del potere cognitivo del giudice delle assicurazioni sociali; cfr. DTF 132 V 220 consid. 3.1.1; 130 V 140), senza che si renda quindi necessario l'esperimento di ulteriori accertamenti. Pertanto, visto quanto sopra, ritenuta la perizia __________ del 16 dicembre 2016 - la quale rispecchia tutti i criteri di affidabilità e completezza richiesti dalla giurisprudenza (cfr. consid. 2.8) e alla quale va quindi attribuita piena forza probante -, e il complemento del 9 novembre 2017 così come gli affidabili pareri dei medici del SMR (sul valore probatorio delle opinioni espresse dai medici SMR cfr. la STFA I 938/05 del 24 agosto 2006; cfr. anche sopra al consid. 2.8) e non essendo provato un peggioramento duraturo e incidente sulla capacità lavorativa, intervenuto prima del momento rilevante (cfr. DTF 132 V 220 consid. 3.1.1) della decisione contestata, il TCA ritiene dimostrato con il grado della verosimiglianza preponderante valido nell'ambito delle assicurazioni sociali (DTF 126 V 360; DTF 125 V 195 consid. 2 e i riferimenti ivi citati) che l’assicurata vada considerata nella sua attività lavorativa abituale inabile nella misura del 25% dal 28 gennaio 2014, del 100% dal 25 luglio 2014, del 25% dal 1. settembre 2014, del 100% dal 29 novembre 2014, del 60% dal 1. dicembre 2015, e del 30% dal 1. gennaio 2016; in attività adeguate e come casalinga le inabilità sono invece le seguenti: del 100% dal 25 luglio 2014, dello 0% dall’1 settembre 2014, del 100% dal 1. novembre 2014, del 50% dal 1. dicembre 2015, e del 20% dal 1. gennaio 2016 (doc. AI 57). Le conclusioni in merito alla capacità lavorativa della decisione contestata, segnatamente il grado d’incapacità lavorativa del 20% (flessione del rendimento) in un’attività adeguata rispettosa dei limiti funzionali posti a contare dal mese di gennaio del 2016, vanno quindi confermate. Sia peraltro in questa sede richiamato altresì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2.10.   Confermata la ripartizione 60% per l’attività salariata e 40% per l’attività di casalinga (cfr. consid. 2.6) e stabilito che successivamente al gennaio 2016 l’incapacità lavorativa dell’insorgente in attività adatte è del 20% (cfr. consid. 2.9), va ora esaminato se l’interessata ha diritto ad una rendita. Come già accennato in precedenza (cfr. consid. 2.5), con il 1° gennaio 2018 è entrata in vigore una modifica degli art. 27 OAI e 27bis OAI. Ai sensi dell’art. 27 cpv. 1 OAI in vigore dal 1. gennaio 2018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religiosi s’intende ogni attività svolta nella comunità. Secondo l’art. 27bis cpv. 2 OAI in vigore dal 1° gennaio 2018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Come anticipato, 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l’articolo 7 capoverso 2 LAI a cui è stata rifiutata una rendita prima dell’entrata in vigore della modifica del 1. dicembre 2017 perché il grado d’invalidità era insufficiente, viene esaminata una nuova richiesta, se il calcolo del grado d’invalidità secondo l’articolo 27bis capoversi 2-4 determinerebbe presumibilmente il diritto a una rendita. Va qui rammentato che da un punto di vista temporale, sono di principio determinanti le norme sostanziali in vigore al momento della realizzazione dello stato di fatto che deve essere valutato giuridicamente o che produce conseguenze giuridiche (DTF 143 V 449 consid. 3.3 con riferimenti ).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(DTF 130 V 4 consid. 3.2; STF K 114/03 del 22 luglio 2005).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argomento vedi anche la STF 9C_553/2017 del 18 dicembre 2017. In concreto la richiesta di prestazioni è del marzo 2015 (cfr. consid. 1.1) e nessuna decisione formale dell’Ufficio AI relativa a tale richiesta è finora cresciuta in giudicato. Occorre pertanto applicare il vecchio diritto per il calcolo delle prestazioni, considerato come le stesse siano dovute per il periodo successivo al 1. settembre 2015 (ovvero dopo sei mesi dalla data in cui l’assicurata ha rivendicato il diritto alle prestazioni conformemente all’art. 29 cpv. 1 LPGA ex art. 29 cpv. 1 LAI). Le nuove norme andrebbero in teoria applicate unicamente qualora fosse riconosciuto il diritto a prestazioni per il periodo successivo dal 1° gennaio 2018, giacché in tal caso lo stesso andrebbe rivalutato in base al nuovo modello di calcolo (cfr. anche al consid. 2.6; per un caso in cui questo Tribunale ha già proceduto in questo senso vedi la STCA 32.2018.42 dell’8 ottobre 2018; cfr. anche la STCA 32.2018.29 del 7 febbraio 2019). 2.11.   Per quel che concerne l’aspetto economico, per determinare il grado di invalidità l’Ufficio AI ha proceduto al raffronto dei redditi, mediante il metodo ordinario (cfr. consid. 2.2). Il calcolo è stato esposto nella decisione impugnata. Nella fattispecie risulta unicamente contestato il periodo successivo al 1. gennaio 2016, momento a partire dal quale l’amministrazione ha, come detto, ammesso un miglioramento delle condizioni dell’assicurata con un grado di inabilità in attività adeguate del 20% e un conseguente grado di invalidità per la parte salariata del 10% (cfr. consid. 2.1). 2.11.1.   Secondo la giurisprudenza riassunta nella STF 9C_501/2013 del 28 novembre 2013, per determinare il reddito ipotetico conseguibile dalla persona assicurata senza il danno alla salute (reddito da valido), occorre stabilire quanto la stessa, nel momento determinante ( corrispondente all'inizio dell'eventuale diritto alla rendita e/o al momento della sua modifica),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(DTF 134 V 322 consid. 4.1 pag. 325; 129 V 222 consid. 4.3.1 pag. 224 con riferimenti). Nel caso in esame, dopo aver contattato l’ultimo datore di lavoro (doc. AI 62), l’amministrazione ha stabilito che l’assicurata, nella sua abituale professione, avrebbe potuto conseguire nel 2015 fr. 25'657 (fr. 27’552.- nel 2016), lavorando al 60%. L’Ufficio AI ha quindi applicato tale importo quale reddito da valido . Tale modo di procedere, rimasto del resto incontestato, è corretto. 2.11.2.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(DTF 126 V 76;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In concreto, in assenza di dati salariali concreti occorre basarsi sui dati statistici nazionali e meglio sull'inchiesta svizzera sulla struttura dei salari 2014, edita dall'Ufficio federale di statistica, più precisamente la tabella TA1 2014_tirage_skill_level Rami economici (NOGA08), denominata “Salario mensile lordo (valore centrale) secondo il ramo economico, il livello di competenze e il sesso” (DTF 142 V 178). Ora, utilizzando i dati forniti dalla tabella TA1 elaborata dall'Ufficio federale di statistica, il salario lordo mediamente percepito nel 2015 dalle donne per un'attività semplice di tipo fisico o manuale di 40 ore settimanali nel settore privato (circa la rilevanza delle condizioni salariali nel settore privato, cfr. RAMI 2001 U 439 pag. 347 segg. e SVR 2002 UV 15 pag. 47 segg.), corrisponde ad un importo di fr. 52'139.-- (4’344 x 12 mesi), che, aggiornato al 2016 e adattato al tempo lavorativo di 41,7 ore, dà un reddito di fr. 54'355 (cfr. Tabella T1.2.10 Indice dei salari nominali, Donne, 2011-2017, pubblicata dall'Ufficio federale di statistica; STF 8C_671/ 2013 del 20 febbraio 2014, consid. 4.2). Inoltre, in applicazione della succitata giurisprudenza che consente una riduzione percentuale sul salario teorico statistico per tener conto delle eventuali particolarità suscettibili di influire sul reddito del lavoro (DTF 126 V 80 consid. 5b/cc), l’Ufficio AI ha proceduto ad una riduzione del 5% (doc. AI 63) per tener conto della necessità di svolgere attività leggere. Tenuto conto del riserbo di cui deve dare prova il giudice delle assicurazioni sociali nel sostituire il proprio apprezzamento a quello dell’amministrazione (cfr. DTF 137 V 71 con la quale la massima Corte ha precisato che in quest’ambito il giudice delle assicurazioni sociali non può, senza motivi pertinenti, sostituire il proprio apprezzamento a quello dell’amministrazione; cfr. anche DTF 132 V 393 consid. 3.3), questa Corte ritiene che, operando una decurtazione del 5%, l’amministrazione non abbia abusato del proprio potere di apprezzamento. In particolare il TCA, ritiene che, mediante la riduzione in questione, l'UAI abbia debitamente tenuto conto degli effetti legati al danno alla salute di cui è affetta l'assicurata, e non può di conseguenza ammettere una decurtazione maggiore. La deduzione ammessa tiene del resto adeguatamente conto del fatto che le limitazioni fisiche da osservare non siano oltremodo gravose e che la limitazione sia peraltro da ricondurre ad una riduzione del rendimento. Del resto l’assicurata non ha addotto motivi pertinenti che permettano a questo Tribunale di sostituire il suo apprezzamento, segnatamente altre circostanze personali che potrebbero giustificare una decurtazione maggiore sul reddito statistico da invalida, rilevato come a ragione l’amministrazione abbia osservato che la mancanza di formazione e le scarse conoscenze linguistiche non costituiscono fattori di riduzione (cfr. DTF 137 V 73 consid. 5.2). 2.11.3.   Ne segue che per il periodo successivo al 1. gennaio 2016, applicando le norme in vigore fino al 31 dicembre 2017, raffrontando il reddito da valida al 60% di fr. 27'552 con quello da invalida di fr. 24'786 [fr. 54'355 ridotti alla quota salariata del 60%, del 5% (fattori di riduzione) e del 20% (incapacità lavorativa; cfr. consid. 2.10], l’amministrazione ha concluso per un grado d’invalidità del 10%. Ora, questo TCA non può confermare tale modalità di calcolo nella misura in cui per la definizione del reddito da invalida per tale periodo l’amministrazione ha già proceduto alla ripartizione della quota parte di salariata. Essa avrebbe invece dovuto prendere in considerazione il reddito statistico al 100%, riducendolo sulla base dell’esigibilità medico-teorica e di eventuali altre riduzioni. Solo successivamente, cioè al momento del calcolo dell’invalidità globale, si deve in effetti di principio tener conto della quota parte relativa all’attività salariata (cfr. a tal riguardo la STCA 32.2018.163 consid. 2.11 e 32.2014.66 del 24 marzo 2015 consid. 2.12.2 pag. 28). Tuttavia, come si vedrà, tale modo di procedere non modifica l’esito della vertenza (cfr. al consid. 2.13). In tale evenienza, sempre per il periodo dal 1 gennaio 2016, raffrontando il reddito da valida al 60% di fr. 27'552.-- con quello da invalida di fr. 41'310.-- (fr. 54'355 - 20% - 5%) si ottiene un grado d’invalidità nullo. Sia di transenna osservato che anche il calcolo relativo al periodo precedente, ossia da gennaio 2015 (scadenza dell’anno di attesa), così come esposto (grado complessivo di invalidità del 67.6% arrotondato al 68%; cfr. nella decisione contestata e sopra al consid. 2.7), andrebbe di per sé rivisto secondo il citato procedere corretto, computando cioè nel calcolo del grado di invalidità per la parte salariata il reddito statistico al 100% e apportandovi unicamente la riduzione relativa all’esigibilità medico-teorica e quella percentuale per tener conto delle eventuali particolarità suscettibili di influire sul reddito del lavoro. Considerato comunque come l’assicurata abbia diritto al versamento della rendita solo a far tempo dal settembre 2015 in applicazione dell’art. 29 cpv. 1 LAI (vale a dire dopo sei mesi dalla domanda di prestazioni), e che in questo momento la medesima fosse beneficiaria di una rendita intera riconosciuta dall’aprile 2015 per un grado d’invalidità del 100% (totale inabilità sia nell’attività salariata che in quella casalinga; cfr. la decisione impugnata e sopra al consid. 2.7), una correzione del calcolo non avrebbe in tutta evidenza alcuna rilevanza pratica. D’altra parte, nella risposta di causa l’Ufficio AI ha fatto rilevare che volendo, per pura ipotesi di lavoro, applicare le nuove norme in vigore dal 1. gennaio 2018, per quanto riguarda il grado di invalidità per la parte salariata si otterrebbe un grado del 46%. Allo stesso si perverrebbe in effetti raffrontando un reddito da valida al 100% di fr. 45'920 (ottenuto convertendo al 100% il salario di fr. 27'552 definito per il 2016 per un pensum al 60%) al guadagno da invalida di fr. 24'786 (sempre dopo aggiornamento al 2016), tenendo conto sia della capacità lavorativa dell’80% che dei fattori di riduzione. Come vedremo in seguito (cfr. consid. 2.13), anche in questa ipotesi tuttavia l’esito della lite non muterebbe. 2.12. Per quanto concerne l'attività di casalinga, come è stato esposto l'invalidità delle persone che si occupano (esclusivamente o parzialmente) dell'economia domestica, è stabilita confrontando le singole attività ancora accessibili al richiedente la rendita AI con i lavori che può eseguire una persona sana (cfr. consid. 2.4). In concreto, l’assistente sociale, stabilita una ripartizione delle singole attività domestiche nel rispetto dei parametri di cui alle direttive CIGI (attribuendo un valore complessivo del 100% all’insieme dei lavori abituali dell’assicurata nell’ambito dell’economia domestica) e fissati gli impedimenti di ogni singola mansione casalinga, nell’inchiesta economica per le persone che si occupano dell’economia domestica del 13 marzo 2017 ha stabilito una limitazione complessiva del 23%. Tali risultanze sono rimaste incontestate. Questo TCA non ha nulla da eccepire sull’operato dell’incaricata dell’inchiesta, né vi è motivo per intervenire in merito alla sua valutazione. Al riguardo, la giurisprudenza federale ha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(DTF 130 V 99s consid. 3.3.1; AHI-Praxis 1997 p. 291 consid. 4a; ZAK 1986 p. 235 consid. 2d; RCC 1984 p. 143, consid. 5; STFA 4 settembre 2001 nella causa S., consid. 4, I 175/01). Un intervento da parte dell'autorità giudiziaria nell'apprezzamento della persona incaricata dell'inchiesta si giustifica unicamente nei casi in cui esso appaia chiaramente erroneo (DTF 128 V 93 consid. 4; STFA I 681/02 dell’11 agosto 2003 consid. 2; cfr. anche STFA I 249/04 del 6 settembre 2004 consid. 5.1.1). Va qui ricordato che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Questo concetto è stato ancora di ribadito nelle STF 9C_568/2017 dell’11 gennaio 2018 e 9C_701/2016 del 1° marzo 2017. Tenuto conto dell’obbligo di ridurre il danno e di reciproca (e accresciuta: DTF 130 V 97 consid. 3.3.3) assistenza familiare e ribadito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 rapporto del 13 marzo 2017 deve, dunque, essere confermata. 2.13.   In queste condizioni, in corretta applicazione del metodo misto (cfr. consid. 2.11.3), per il periodo da gennaio 2016, viste le quote parti tra attività salariata (60%) e mansioni casalinghe (40%), tenuto conto di un’invalidità quale salariata dello 0% (capacità lavorativa dell’80% in attività adeguate; cfr. al consid. 2.11.3) ed una limitazione del 23% quale casalinga, il grado d’invalidità globale è del 9% (40 x 23% + 60 x 0%). Come anticipato e come osservato dall’amministrazione, anche volendo, per pura ipotesi di lavoro, procedere al calcolo secondo la normativa applicabile dal 1. gennaio 2018, il grado d’invalidità risulterebbe maggiore, ma comunque non sufficiente per l’erogazione di una rendita oltre il 31 marzo 2016. Anche in questa ipotesi infatti, considerando un grado di invalidità come salariata del 46% (cfr. consid. 2.11.3) e come casalinga del 23%, si otterrebbe un grado complessivo del 37%, comunque insufficiente per la concessione di una prestazione oltre il 31 marzo 2016. Considerate quindi le accertate inabilità in un’attività adeguata del 100% dal 28 gennaio al 24 luglio 2014 e dal 1. novembre 2014 al 30 novembre 2015, del 50% dal 1. dicembre 2015 e dal 1. gennaio 2016 del 20% con un conseguente grado di invalidità del 9%, l’amministrazione ha riconosciuto il diritto a tre quarti di rendita (grado di invalidità del 68%) dal 1. gennaio 2015 (ovvero allo scadere dell'anno d'attesa dall’inizio della malattia giusta l’art. 28, cpv. 1 lett. b e c LAI) al 30 marzo 2015 e dal 1. aprile 2015 a una rendita intera (grado di invalidità del 100%). Tuttavia, in applicazione dell’art. 29 cpv. 1 LAI - per il quale “il diritto alla rendita nasce al più presto dopo sei mesi dalla data in cui l’assicurato ha rivendicato il diritto alle prestazioni conformemente all’art. 29 cpv. 1 LPGA” - il versamento della rendita decorre solo dopo sei mesi dalla domanda di prestazioni e, quindi, stante la domanda del marzo 2015, dal settembre 2015. Considerato inoltre come dal gennaio 2016, a seguito dell’accertato miglioramento delle condizioni con un’inabilità lavorativa in attività adeguate del 20%, il grado d’invalidità sia del 9%, con decadenza del diritto alla rendita in assenza di un grado di invalidità sufficiente, a ragione l’amministrazione ha soppresso il diritto alla prestazione a far tempo dal 1. aprile 2016, ovvero dopo tre mesi dal miglioramento dello stato clinico (art. 88a, cpv. 1 OAI). Ne consegue che la decisione impugnata merita sostanziale conferma, mentre il ricorso va respinto. All’assicurata va comunque fatto presente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2.14.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