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32.2018.50 vom 13. März 2018</w:t>
      </w:r>
    </w:p>
    <w:p>
      <w:r>
        <w:t>TI Tribunale d'appello, 2018-03-13, IT</w:t>
      </w:r>
    </w:p>
    <w:p>
      <w:r>
        <w:rPr>
          <w:b/>
        </w:rPr>
        <w:t xml:space="preserve">Quelle: </w:t>
      </w:r>
      <w:r>
        <w:t>https://mcp.opencaselaw.ch/entscheid/ti_gerichte_32.2018.50</w:t>
      </w:r>
    </w:p>
    <w:p>
      <w:r>
        <w:t>FR: TI_GERICHTE 32.2018.50 du 13 mars 2018</w:t>
      </w:r>
    </w:p>
    <w:p>
      <w:r>
        <w:t>IT: TI_GERICHTE 32.2018.50 del 13 marzo 2018</w:t>
      </w:r>
    </w:p>
    <w:p>
      <w:pPr>
        <w:pStyle w:val="Heading2"/>
      </w:pPr>
      <w:r>
        <w:t>Regeste</w:t>
      </w:r>
    </w:p>
    <w:p>
      <w:r>
        <w:t>L'amministrazione, qualificata l'assicurata come casalinga e quindi effettuata la relativa inchiesta economica al domicilio, ha respinto la domanda in assenza di un grado di impedimento sufficiente. La ricorrente contesta la qualifica di casalinga. TCA conferma la decisione</w:t>
      </w:r>
    </w:p>
    <w:p>
      <w:pPr>
        <w:pStyle w:val="Heading2"/>
      </w:pPr>
      <w:r>
        <w:t>Erwägungen</w:t>
      </w:r>
    </w:p>
    <w:p>
      <w:r>
        <w:rPr>
          <w:b/>
        </w:rPr>
        <w:t>E. 27</w:t>
      </w:r>
    </w:p>
    <w:p>
      <w:r>
        <w:t>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in Sécurité sociale 1/2018 pag. 40 seg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Resta da osservare che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Ancorché non applicabile alla fattispecie,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(U. Kieser, Gemischte Methode: ein Blick auf die bisherige Rechtsprechung, in: HAVE 2016 pag. 471 seg. (474); A. Mengis,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 Ancora nella STF 9C_297/2016 del 7 aprile 2017, pubblicata in DTF 143 V 77, il TF ha stabilito che “(…) n ell'ambito dell'esame del diritto secondo le disposizioni finali della 6 a revisione dell'AI, primo pacchetto, non è rilevante un cambiamento dello statuto della persona assicurata solo per motivi di natura familiare, anche se non costituisce la causa per la quale la procedura di revisione della rendita ha avuto inizio, di modo che lo statuto che la persona assicurata aveva fino al momento della valutazione dell'invalidità deve essere mantenuto (consid. 3.2.3) (…)” (regesto della DTF 143 V 77).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2.7.   Nella presente fattispecie occorre verificare se a ragione l’Uf-ficio AI ha considerato l’assicurata casalinga e, quindi, applicato il metodo specifico di calcolo dell’invalidità, applicabile, giusta gli art. 8 cpv. 3 LPGA (cfr. art. 5 LAI), 28a cpv. 2 LAI e art. 27 cpv. 1 OAI, agli assicurati che non esercitano un'attività lucrativa per determinare il grado di invalidità in funzione dell'incapacità di svolgere le mansioni consuete (sul metodo specifico di calcolo dell'invalidità cfr. SVR 1996 IV Nr. 76 consid. 1; RCC 1986 pag. 246 consid. 2b; DTF 104 V 13; cfr. al consid. 2.4 che precede). Tale qualifica è contestata dalla ricorrente che sostiene in buona sostanza di dover essere ritenuta (almeno parzialmente) salariata. Adduce di aver sostanzialmente dovuto abbandonare l’attività lucrativa a causa dei problemi alla salute e ai dolori patiti sin dal 2006, senza i quali avrebbe lavorato. A suffragio di tale asserzione produce un suo scritto inviato all’Ufficio AI il 1. marzo 2018, con il quale aveva dichiarato di aver iniziato a soffrire per i dolori già nel 2006, momento in cui lavorava come mamma diurna. 2.8. Per quanto innanzitutto concerne l’aspetto medico, l ’ammini-strazione, sulla base delle certificazioni dei medici curanti e del rapporto finale del SMR del 18 dicembre 2017 (doc. AI 14), ha tratto delle conclusioni sul grado di abilità lavorativa medico-teorica dell’assicurata che sono rimaste sostanzialmente incensurate. In particolare l’amministrazione ha interpellato il dr. __________, reumatologo curante dal 2015, il quale, in data 24 novembre 2016, posta la diagnosi di “ probabile spondiloartropatia siero-negativa, HLA-B27 negativa ”, riferito dei ricoveri alle Cliniche ___________ nell’aprile 2014 e __________ nell’ottobre 2015, ha segnalato una recrudescenza dei dolori a motivo della sospensione, sei mesi prima, del medicamento prescritto a causa della gravidanza in corso. Ha poi concluso escludendo un’inabilità lavorativa, ad eccezione di lavori da effettuare sempre in piedi o seduti. Ha pure specificato che la paziente rispondeva abbastanza bene al trattamento biologico prescritto, ragione per cui era possibile “ sperare in una remissione completa dei disturbi ” con una capacità lavorativa completa dopo la gravidanza (doc. AI 5). Dal canto suo il dr. __________, internista curante dal luglio 2014, nel certificato del gennaio 2017, confermata la diagnosi di “ spondilartrite anchilosante”, ha certificato un’inabilità lavorativa, specificando che l’assicurata era attualmente in gravidanza con recrudescenza dei sintomi anche a causa della sospensione del farmaco biologico (doc. AI 8). La dr. __________, psichiatra dell’assicurata dall’aprile 2016, infine, nel rapporto del 19 gennaio 2017, ha posto la diagnosi di “ ICD10 F 32.1”, descrivendo un “ tono umore mediamente deflesso, ansia ” dal 2015, specificando che la paziente era affetta dall’ottobre 2014 da spondiloartrite e nel 2015 aveva sviluppato dapprima sintomi ansiosi e poi un episodio depressivo in via ingravescente, in stato di gravidanza. Ha quindi concluso per un’inabilità lavorativa a motivo di “ incapacità a dare coerenza e continuità alle attività” (doc. AI 10). L’amministrazione ha sottoposto la documentazione al medico SMR, il quale, nell’annotazione del 23 marzo 2017, ha posto l’indicazione per l’effettuazione di un’inchiesta casalinga a sei 6 mesi dal parto, presumibilmente avvenuto a febbraio 2017. Secondo il dr. __________ del SMR la patologia era presente in forma influente sullo stato funzionale da aprile 2014 (ricovero Clinica __________). Le limitazioni funzionali erano “ apatia, abulia, ansia, dolori generalizzati in caso di lavori in cui deve rimanere costantemente in piedi o seduta. Mai accovacciarsi o inginocchiarsi ” (doc. AI 12). In data 18 dicembre 2017 il medico SMR ha precisato che l’inabilità lavorativa come casalinga era del 20-30% (doc. AI 14). Il 17 gennaio 2018 è quindi stata esperita l’inchiesta economica per le persone che si occupano dell’economia domestica che ha concluso per una limitazione complessiva del 30.5% (doc. AI 17; cfr. nel dettaglio al consid. 2.10). Tale conclusione (presenza da aprile 2014 di una limitazione del 20-30% come casalinga), che, come detto, non è di per sé stata contestata dalla ricorrente, deve essere confermata da questo giudice che non ha motivo per mettere in dubbio la valutazione del SMR, da considerare approfondita e rispecchiante i parametri giurisprudenziali ricordati al considerando 2.6. che precede. Del resto la medesima non è stata smentita da certificati medici attestanti la presenza di patologie maggiormente invalidanti rispettivamente la sussistenza, prima del ricovero ospedaliero dell’aprile 2014, di una inabilità rilevante (cfr. anche al consid. 2.10). 2.9. 2.9.1. S econdo la giurisprudenza, per determinare lo statuto di un'assicurata e, quindi, il metodo applicabile per stabilire l’e-ventuale invalidità, occorre esaminare se essa, da sana, avrebbe consacrato l'essenziale della sua attività all'economia domestica o ad un'occupazione lucrativa alla luce della sua situazione personale, familiare, sociale e finanziaria (DTF 130 V 393 consid. 3.3. pag. 396 e sentenze citate). Si deve quindi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 Bundesgesetz über die Invalidenversicherung, in: Rechtssprechung des Bundesgericht zum Sozialversicherugsrecht, 2010, ad art. 5, p. 47-50 e 53 e Blanc, La procédure administrative en assurance-invalidité, Fribourg 1999, p. 190 segg. ). Questa valutazione deve ugualmente prendere in considerazione la volontà ipotetica dell’assicurata, che, in quanto fatto interno, deve essere in regola generale dedotta da indizi esterni ( STF 9C_64/2012 dell’11 luglio 2012 consid. 5.2; STFA I 693/06 del 20 dicembre 2006, consid. 4.1.). Occorre inoltre rilevare che, secondo la giurisprudenza, le dichiarazioni fornite dall’assicurata stessa durante la procedura amministrativa costituiscono un mezzo di prova pertinente, al fine di dedurre quale sia la volontà ipotetica in merito al tasso di occupazione che ella avrebbe adottato in assenza del danno alla salute. Nella sentenza del 20 novembre 2007 nella causa 9C_428/2007 , il TF, proprio alla luce delle dichiarazioni fornite da un’assicurata durante la procedura amministrativa, ha ritenuto arbitraria la valutazione del grado di invalidità effettuata dai giudici di prima istanza, secondo il metodo ordinario del raffronto dei redditi (avendo considerato l’assicurata salariata a tempo pieno), anziché secondo il metodo misto di calcolo, come invece ritenuto a ragione dall’amministrazione. Va anche segnalata la sentenza 9C_52/2013 del 12 aprile 2013, dove il TF ha esaminato il caso di un’assicurata, madre di tre figli, che dopo il 1991 ha sempre lavorato a tempo parziale e che il TCA, al momento della nascita del diritto alla rendita, ha considerato salariata nella misura del 70% e casalinga per il restante 30%. Da ultimo va rilevato che il metodo di calcolo non resta immutato. Ad ogni revisione si deve infatti accertare quale sarebbe stata l’attività esercitata dall’assicurato se non fosse stato invalido (SVR 1996 AI Nr. 76; DTF 117 V 195, 98 V 262; AJP 1994 p. 784 segg.; STFA del 24 marzo 1994 solo parzialmente pubblicata in DTF 120 V 150; Meyer, op. cit., p. 288; Blanc, La procédure administrative en assurance-invalidité, 1999, p. 190-191). 2.9.2.   Venendo al caso in esame, l'amministrazione ha, come detto, proceduto alla valutazione del grado d'invalidità, ritenendo la ricorrente, prima dell'insorgenza del danno alla salute, persona senza attività lucrativa ed ha quindi applicato il metodo specifico di calcolo dell'invalidità. Questo giudice deve condividere questa conclusione. Dall’inserto emerge che l’assicurata, nella domanda di prestazioni del 31 ottobre 2016, ha indicato di non essere stata assicurata per la previdenza professionale al momento dell’in-sorgenza dell’incapacità lavorativa (quesito 4.9), di essere stata attiva professionalmente come mamma diurna dal 2006 al 2008 (quesito 6.2) e di non essersi mai annunciata alla disoccupazione (quesito 6.7). Con la domanda essa ha postulato unicamente l’attribuzione di una rendita (doc AI 2). Dall’estratto del conto individuale richiamato agli atti emerge unicamente l’attività lavorativa svolta, peraltro a tempo parziale considerato il reddito annuo ridotto (fr. 2'251 nel 2006 e fr. 6'361 nel 2007), per l’Associazione __________ dal 1. luglio 2006 al 31 dicembre 2007, mentre che dal 2008 in poi l’interessata è sempre stata registrata quale persona senza attività lucrativa (doc. AI 4). Del resto, interpellata al riguardo dall’amministrazione, nello scritto del 28 novembre 2016, l’assicurata ha affermato che “ dal 2008 al 2014 non lavoravo perché ero sposata e il mio mantenimento veniva a carico del mio ex-marito. Ad oggi ero a carico di mia madre, ma il 6 agosto 2016 mi sono sposata con mio marito, e intanto sono a carico di lui” . Nessuna menzione invece, i n tale scritto, all’esistenza di problemi di salute (doc. AI 6). Alla luce di questi elementi a ragione l’amministrazione ha concluso che al momento dell’insorgenza del danno alla salute con valenza invalidante (aprile 2014; cfr. al consid. 2.8), così come negli anni immediatamente precedenti, l’assicurata non ha lavorato per sua scelta. Nel periodo in cui non ha svolto alcuna attività lavorativa in base all'estratto conto individuale, la medesima non si è iscritta all'assicurazione disoccupazione alla ricerca di un'occupazione né ha effettuato alcuna ricerca di lavoro. Per tutte queste ragioni, l’amministrazione ha concluso a ragione che andava considerata come persona senza attività lucrativa, applicando di conseguenza nei suoi confronti il metodo specifico di calcolo dell'invalidità. A tali conclusioni non possono del resto mutare le allegazioni della ricorrente, la quale fa segnatamente riferimento al suo scritto del 1. marzo 2018, inoltrato all’amministrazione in sede di osservazioni al progetto di decisione del 2 febbraio 2018, con il quale affermava quanto segue: " Con riferimento alla vostra risposta riguardo a la mia richiesta di invalidità, faccio notare che ho iniziato con i miei problemi a partire dal 2006, e in quel periodo stavo lavorando presso la Associazione __________, dal 2006, faccio sempre fisioterapie, alla Fisioterapia __________. Da quel momento ho iniziato a fare tutti controlli possibili preso la Clinica __________, vedendo una serie infinita di Dottori, fino a raggiungere la Clinica __________ nel 2014, dove sono stati in grado di capire quello che ho. Qui allego un documento che accredita che stavo lavorando nel momento di iniziare ad avere tutti questi problemi con la mia salute, loro sono a disposizione vostra per qualsiasi informazione.” (doc. AI 20) Ora, da tale scritto emerge unicamente l’allegazione, sostenuta dall’assicurata peraltro già in occasione dell’inchiesta domiciliare effettuata il 17 gennaio 2018 e nuovamente in sede di ricorso, per la quale i suoi problemi di salute sarebbero iniziati già nel 2006. Ora, a prescindere dal fatto che la ricorrente nulla ha prodotto al fine di comprovare tale assunto, segnatamente documentazione medica, deve essere osservato che tale circostanza non risulta in ogni modo decisiva. Sia ricordato innanzitutto che, secondo la giurisprudenza federale, per l’assicurazione invalidità non è importante la diagnosi, ma le sue conseguenze sulla capacità lavorativa (in argomento STF 9C_49/2012 del 12 luglio 2012 consid. 6 con riferimenti). In effetti, l’insorgenza di un problema alla salute di per sé ancora non significa nulla con riferimento all’even-tuale diritto ad una prestazione dell’AI, per il quale decisive sono unicamente le ripercussioni dello stesso sull’abilità lavorativa. In altre parole: il fatto – peraltro ancora tutto da dimostrare – di aver “iniziato” ad avere dolori non significa ancora che gli stessi comportassero anche una limitazione rilevante della sua capacità lavorativa. Bisogna per contro concludere che nella specie l’assicurata nulla di concreto ha addotto né tantomeno comprovato circa la presenza di affezioni alla salute limitanti per l’esercizio di un’attività lucrativa in epoca antecedente all’aprile 2014. Anzi, quanto asserito risulta persino contraddittorio laddove sostiene in sostanza di essere stata inabile dal 2006, mentre è proprio dal luglio 2006 (sino alla fine del 2007) che la medesima è stata attiva come mamma diurna. Inoltre, non risulta alcuna prova che l’insorgente abbia interrotto tale attività a motivo di problemi alla salute, la dichiarazione del 22 febbraio 2018 dell’Associazione __________ limitandosi a certificare l’attività svolta dall’interessata dal 1 luglio 2016 al 31 dicembre 2007 (doc. AI 19). Né nel proprio ricorso l’assicurata adduce altre motivazioni che permettono a questo giudice di concludere diversamente. Del resto le conclusioni della decisione contestata sono confermate dalle emergenze agli atti, dalle quali non è desumibile alcuna certificazione, medica o d’altra natura, dalla quale si possa in qualche modo dedurre che al momento dell’insor-genza dell’inabilità lavorativa l’assicurata esercitasse un’attivi-tà remunerata e che la stessa sia stata interrotta a motivo dell’insorgenza dell’inabilità o, ancora, che a quel momento ella intendesse seriamente esercitare una professione. Sia peraltro anche osservato che il curante dr. __________, nel già menzionato certificato medico del 24 novembre 2016, dopo aver segnalato la presenza della spondilartropatia siero negativa, con dolori “ da 4-5 anni ”, ha nondimeno concluso per una limitazione in lavori da svolgere costantemente in piedi o seduti, ma ha escluso un’inabilità lavorativa in un’atti-vità variata o di ufficio in cui poter cambiare posizione di tanto in tanto e attestato un’abilità lavorativa piena dopo la gravidanza (doc. AI 5). In nessun modo quindi alla ricorrente è riuscito di comprovare la sua intenzione di intraprendere un’attività lavorativa e che tale progetto sia stato in primis interrotto dall’insorgenza del danno alla salute. Ne segue che l’interruzione del lavoro, a fine 2007, e la mancata successiva ripresa di un’attività lavorativa, non sono dovute, secondo il principio della verosimiglianza preponderante valido nel campo delle assicurazioni sociali (DTF 126 V 360; DTF 125 V 195 consid. 2 e i riferimenti ivi citati), a motivi medici, ma ad una scelta dell’insorgente. Tali conclusioni non possono nemmeno venir modificate da quanto addotto dall’assicurata in occasione dell’inchiesta eco-nomica svolta il 17 gennaio 2018. Dal relativo rapporto si evince in effetti che l’assicurata aveva affermato che nel 2014 si era iscritta ai corsi serali per ottenere l'AFC quale impiegata di commercio (dal momento che i titoli ottenuti in patria non erano “ spendibili nel mondo del lavoro ticinese ”) e di aver dovuto interrompere tale formazione “ a causa del compromesso stato di salute” . In quest’occasione ha pure addotto di aver dovuto abbandonare l’attività di mamma diurna (svolta dal 2005 al 2007) “ a seguito del peggioramento dello stato di salute ”, dichiarando altresì che in assenza del danno alla salute avrebbe continuato a lavorare. In tale contesto si ricorda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8C_752/2016 del 3 febbraio 2017; STF 9C_762/2016 del 18 gennaio 2017;STF 8C_637/2016 del 13 dicembre 2016;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In concreto, già solo sulla base di tale principio, ritenuto che in occasione della prima dichiarazione resa all’Ufficio AI il 28 novembre 2016 la ricorrente aveva espressamente affermato di non aver lavorato, successivamente al 2008, perché era sposata e quindi mantenuta dal marito, la conclusione dell’amministrazione va confermata (doc. AI 6). Val la pena di ancora osservare che in occasione dell’inchiesta domiciliare l’assicurata ha peraltro confermato che il marito provvedeva al sostentamento della famiglia, lasciando nuovamente intendere che non vi era per lei necessità economica di riprendere un’attività lavorativa (doc. AI 17). Sia detto infine, ad ulteriore sostegno di quanto precede, che l’assicurata, malgrado l’addotto tentativo del 2014, andato deserto, non ha successivamente più ritenuto di dover riprendere il percorso formativo atto a meglio utilizzare le proprie conoscenze di studio acquisite nel suo paese di origine, ciò che avrebbe quantomeno comprovato la sussistenza di una certa volontà di migliorare la sua situazione formativa in vista di una ripresa di un’attività professionale. Il suo mancato impegno appare in realtà un ulteriore elemento che comprova come in realtà l’assicurata non avesse alcuna intenzione di intraprendere un’attività lavorativa. In siffatte circostanze, segnatamente alla luce di tutti gli elementi che emergono dall’inserto, come il lungo tempo trascor-so senza che l’assicurata svolgesse un’attività lucrativa, la mancata iscrizione all’URC e l’assenza di prove a sostegno di ricerche di posti di lavoro, la classificazione operata dall'Ufficio AI quale casalinga al 100% deve dunque essere confermata, non consentendo in tutta evidenza di pervenire a una conclusione differente la citata dichiarazione del 1. marzo 2018. Si può quindi ritenere dimostrato, con il già richiamato grado della verosimiglianza preponderante valido nell'ambito delle assicurazioni sociali (DTF 126 V 360; DTF 125 V 195 consid. 2 e i riferimenti ivi citati), che l'insorgente avrebbe continuato a non esercitare un’attività lucrativa remunerata anche negli anni successivi al 2014. Concludendo, è dunque, a giusta ragione, che l'Ufficio AI ha riconosciuto alla ricorrente lo statuto di casalinga. 2.10.   In merito alla definizione degli impedimenti nelle mansioni do-mestiche, l’Ufficio AI ha esperito un’inchiesta per le persone che si occupano dell’economia domestica, conformemente ai marg. 3084 ss della Circolare sull’invalidità e la grande invalidità nell’assicurazione per l’invalidità (CIGI), e meglio confrontando le singole attività accessibili alla richiedente con i lavori che può eseguire una persona sana (cfr. consid. 2.4 e 2.5). Nel rapporto del 31 gennaio 2018 relativo all’inchiesta domiciliare esperita il 17 gennaio 2018, sulla base degli accertamenti rilevati presso il domicilio dell’interessata, dopo aver fissato gli impedimenti di ogni singola mansione domestica, l’assistente sociale ha stabilito una limitazione totale del 30.5%. Considerata quindi una limitazione complessiva del 30.5% su un’attività come casalinga del 100%, l’assistente sociale ha stabilito un grado d’invalidità del 30.5% (doc. AI 17). A tale conclusione, rimasta peraltro incontestata, va prestata adesione, non essendo ravvisabili elementi che consentano di metterne in dubbio l’attendibilità (sul valore probatorio delle inchieste effettuate dai servizi sociali cfr. pro multis DTF 128 V 93 consid. 4; AHI-Praxis 1997 pag. 291 consid. 4a; STFA I 102/00 del 22 agosto 2001, consid. 4). 2.11.   Visto quanto precede, la decisione impugnata deve essere confermata e il ricorso respinto . Ritenuta l’incapacità lavorativa in ambito domestico del 30.5% e visto che l’assicurata è casalinga, non può esserle riconosciuto il diritto ad una rendita, non raggiungendo il grado d’in-validità minimo pensionabile del 40%. All’assicurata va comunque fatto presente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2.12.   S econdo l’art. 69 cpv. 1bis LAI la procedura di ricorso in caso di controversie relative all’assegnazione o al rifiuto di prestazioni AI dinanzi al tribunale cantonale delle assicurazioni è soggetta a spese. L’entità delle spese è determinata fra 200.-e 1’000.-- franchi in funzione delle spese di procedura e senza riguardo al valore litigioso. Visto l’esito della vertenza, le spese per complessivi fr. 500.--vanno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