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32.2018.22 vom 29. Januar 2018</w:t>
      </w:r>
    </w:p>
    <w:p>
      <w:r>
        <w:t>TI Tribunale d'appello, 2018-01-29, IT</w:t>
      </w:r>
    </w:p>
    <w:p>
      <w:r>
        <w:rPr>
          <w:b/>
        </w:rPr>
        <w:t xml:space="preserve">Quelle: </w:t>
      </w:r>
      <w:r>
        <w:t>https://mcp.opencaselaw.ch/entscheid/ti_gerichte_32.2018.22</w:t>
      </w:r>
    </w:p>
    <w:p>
      <w:r>
        <w:t>FR: TI_GERICHTE 32.2018.22 du 29 janvier 2018</w:t>
      </w:r>
    </w:p>
    <w:p>
      <w:r>
        <w:t>IT: TI_GERICHTE 32.2018.22 del 29 gennaio 2018</w:t>
      </w:r>
    </w:p>
    <w:p>
      <w:pPr>
        <w:pStyle w:val="Heading2"/>
      </w:pPr>
      <w:r>
        <w:t>Regeste</w:t>
      </w:r>
    </w:p>
    <w:p>
      <w:r>
        <w:t>Revisione della prestazione e conferma della mezza rendita. Assicurata pretende di più, facendo valere un peggioramento. TCA conferma la decisione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 bensì il suo contenuto (DTF 122 V 160 in fine con rinvii). A proposito delle perizie mediche esterne (art. 44 LPGA)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2.7. Secondo la giurisprudenza, il punto di riferimento temporale per valutare se si è in presenza di una modifica rilevante del grado di invalidità suscettibile di incidere notevolmente sul diritto alla prestazione è costituito dall’ultima decisione cresciuta in giudicato che si fonda su un esame materiale del diritto alla rendita. Vanno quindi paragonati i fatti esistenti al momento della decisione formale iniziale con quelli esistenti nell’istante della pronuncia della nuova decisione (DTF 133 V 108, 130 V 351 consid. 3.5.2). Da questo punto di vista un provvedimento che si limita a confermare una prima decisione di rendita non è rilevante (DTF 125 V 369 , 109 V 262, 105 V 30; Meyer-Blaser, Rechtsprechung des Bundesgerichts zum IVG, 2010, pag. 379). In concreto, come meglio si illustrerà al consid. 2.8, la mezza prestazione è stata erogata sulla base di accertamenti medici e del relativo rapporto SMR eseguiti contestualmente alla resa della decisione del 16 novembre 2015 (doc. AI 175). Il TCA è, quindi, ora chiamato a valutare se successivamente alla decisione del 16 novembre 2015 lo stato di salute della ricorrente sia peggiorato in misura tale da giustificare l’au-mento della rendita d’invalidità. 2.8. Dagli atti di causa risulta che in occasione della concessione della mezza rendita l’amministrazione, in evasione della nuova domanda dell’assicurata che lamentava un peggioramento dei dolori preesistenti, e a seguito della decisione del 25 settembre 2014 statuente l’entrata nel merito da parte dell’Ufficio AI (doc. AI 135; cfr. consid. 1.1), aveva interpellato i curanti. In particolare il dr. __________, ortopedico e traumatologo, il 27 novembre 2014 aveva attestato una completa inabilità lavorativa, sino a data da precisare, a seguito degli esiti della frattura al gomito sinistro con artrosi post-traumatica e rigidità e discinesia secondaria alla spalla sinistra (doc. AI 145). Il dr. __________, gastroenterologo, il 18 dicembre 2014, posta la diagnosi di epatite cronica attiva e dolori cronici alla spalla sinistra, aveva dal canto suo concluso per un’inabilità lavorativa del 50% dal maggio 2014 (doc. AI 148). La dr.ssa __________, psichiatra, aveva invece escluso un’inabilità (doc. AI 149). Il dr. __________ dell’__________ di __________, diagnosticati gli esiti della frattura alla spalla sinistra e una fibrosi epatica livello F3 su epatite C, rilevate limitazioni alla capacità lavorativa dell’assicurata a motivo dei problemi al braccio sinistro e stanchezza attribuibile all’epatite avanzata, non aveva dal canto suo indicato alcuna inabilità lavorativa (rapporto medico del 1. giugno 2015, doc. AI 159). Nel rapporto finale del 27 luglio 2015 il dr. __________ del SMR, posta la diagnosi con influsso sulla capacità lavorativa di “ Epatite cronica C genotipo 3b in stato dopo trattamento con interferone dal gennaio 2004 e aprile 2005, attuale indicazione a nuovo trattamento ” aveva quindi concluso per un grado di inabilità nell’attività abituale di gerente dell’ 80% dal maggio 2014, del 50% invece in un’attività leggera adeguata, laddove andavano evitati lavori pesanti, ripetitivi con il braccio sinistro e sopra l’altezza tavolo con il braccio sinistro (doc. AI 166). Di conseguenza, ammessa un’inabilità lavorativa del 80% in attività nella ristorazione, ma una capacità lavorativa del 50% in attività leggere adeguate, dal maggio 2014, eseguito il confronto dei redditi concludente per una perdita di guadagno del 55% (cfr. rapporti del consulente professionale del 27 luglio e</w:t>
      </w:r>
    </w:p>
    <w:p>
      <w:r>
        <w:rPr>
          <w:b/>
        </w:rPr>
        <w:t>E. 9</w:t>
      </w:r>
    </w:p>
    <w:p>
      <w:r>
        <w:t>settembre 2015, doc. AI 163 e 170), con decisione del 16 novembre 2015 - cresciuta incontestata in giudicato - l’Ufficio AI ha riconosciuto una mezza rendita dal 1. maggio 2015 (doc. AI 175). In occasione della revisione intrapresa nella primavera del luglio 2017, l’amministrazione ha interpellato il dr. __________, il quale, il 24 agosto 2017, poste la diagnosi con influsso sulla capacità lavorativa di esiti della frattura all’omero sinistra nel 2009, con anchilosi del gomito e artrosi con sindrome cervico-brachiospondilogena e dolore cronico, epatite C cronica con fibrosi F3 (fibrosi avanzata con stato dopo cura antivirale 2016), oltre ad altre diagnosi senza influsso sulla capacità lavorativa, ha certificato un’inabilità lavorativa completa per un lavoro in ristorante (doc. AI 186). Il dr. __________, reumatologo, il 9 ottobre 2017, sulla base di allegati referti radiologici, ha posto le diagnosi di “ Sindrome cervicospondilogena cronica in presenza di modiche alterazioni degenerative conformi all’età senza neurocompressione, anchilosi parziale del gomito sinistro dopo frattura circa 2010”, concludendo che “ dal punto di vista prettamente reumatologico, come badante, l’assicurata è totalmente abile al lavoro ”, così come era completamente abile “ per qualunque attività a tempo pieno e con pieno rendimento ” (doc. AI 194). Agli atti sono inoltre stati prodotti atti medici relativi all’asportazione di un basalioma sul cuoio capelluto nel febbraio 2017 con esito senza complicanze (doc. AI 195). L’assicurata ha pure segnalato di avere nel frattempo riiniziato a lavorare, svolgendo dal dicembre 2016 un’ "attività di sostegno domestico a domicilio" , con un impiego al 45%, attività tuttavia interrotta con la fine del mese di marzo 2017. Sottoposta la documentazione al SMR (che ha concluso per uno stato di salute invariato con prognosi stazionaria; doc. AI 197), con comunicazione del 28 dicembre 2017 dapprima e, quindi, la decisione impugnata del 29 gennaio 2018, l’ammini-strazione ha confermato la mezza rendita di invalidità, con la motivazione che in base alla nuova documentazione medica acquisita agli atti non era stato constatato alcun cambiamento in riferimento alla rendita erogata (doc. AI 200). Con il ricorso l’assicurata ha prodotto documentazione già agli atti oltre a un rapporto del dr. __________ dell’8 febbraio 2018, concludente quanto segue: " Con il presente scrivo un certificato in risposta alla decisione dell'lstituto delle Assicurazioni Sociali che ha fatto un accertamento Al concludendo con la lettera raccomandata del 29.01.2018 in cui dichiara che la rendita d'invalidità rimane immutata, ossia ad un grado d’invalidità del 50%. Guardando l'incartò messo a mia disposizione ritengo che alcuni aspetti della polipatologia presente presso questa paziente siano state sottovalutate. C onosco la paziente dal 2015 seguendola come medico di famiglia. La paziente aveva subito la frattura dell'omero sinistro con anchiloso del gomito ed artrosi con sindrome cervico-brachiale spondilogena e dolore cronico in terapia con diversi antidolorifici/antinfiammatori in particolare Arcoxia, Ponstan e Dafalgan, Tale condizione provoca un impedimento nello svolgimento delle attività quotidiane che sono impedite da dolori cronici nel braccio e spalla sinistra, i quali non permettono nemmeno ad estendere completamente il braccio sinistro. Questi fenomeni degenerativi insorti dopo un incidente hanno una prognosi che tende verso il peggioramento. Ritengo che la valutazione da parte del Dr. __________, sia dal profilo scientifico, sicuramente corretta, ma non tiene conto del fatto che si tratta di una paziente che nel frattempo è astenica, sottopeso e soffre dì un decondizionamento fisico secondario. La paziente è inoltre portatrice di una fibrosi avanzata secondarla ad un’epatite C cronica che è stata eradicata. Pazienti con fibrosi avanzata hanno spesso una sindrome astenica, fattore che si aggiunge alle patologie sopra elencate. In conclusione ritengo l'affermazione fatta dal reumatologo: "l'assicurata è abile al lavoro per qualunque attività a tempo pieno e con pieno rendimento", si limita troppo ad una perspettiva forse scientificamente corretta, ma non integra la complessità che presenta il caso della signora Taberning. Sostengo dunque l'iniziativa portata avanti dall’avvocato RA 1 e chiederei una valutazione che integri i diversi impedimenti e problemi sopracitati da uno specialista della medicina del lavoro.“ (doc. Q) Valutato questo certificato, il SMR, con Annotazione del 22 febbraio 2018, ha concluso che dallo stesso non risultava una modifica dello stato di salute rispetto alla precedente valutazione (doc. IV/1; cfr. in esteso al consid. 2.9). La ricorrente ha altresì prodotto due rapporti del 4 aprile e 15 maggio 2018 del dr. __________, ortopedico della clinica __________ (doc. R1 e R2), sui quali il medico SMR, con Annotazione del 23 luglio 2018, si è espresso nel senso che non evidenziavano nuove problematiche di rilievo (doc. XII/1, cfr. in esteso al consid. 2.9). Infine, la ricorrente ha ancora fatto pervenire un referto relativo ad una densitometria ossea effettuata il 20 settembre 2018 con riscontro di “ osteoporosi femorale, osteopenia lombare e all’avambraccio ”. In merito, il medico SMR, in data 17 dicembre 2018, ha osservato che la diagnosi di osteoporosi non fratturativa non comportava ulteriori limiti funzionali (doc. XVIII). 2.9.   Nella concreta fattispecie, dopo attento esame della documentazione agli atti, rammentato che la situazione giuridica precedente deve permanere se una modifica rilevante della fattispecie non è dimostrabile con il grado di verosimiglianza preponderante (sentenza 9C_158/2012 del 5 aprile 2013; SVR 2012 IV n. 18 pag. 181, 9C_418/2010, consid. 3.1; cfr. anche sentenza 9C_32/2012 del 23 gennaio 2013, consid. 2; cfr. sopra al consid. 2.5), questo Tribunale, per i motivi che seguono, non può che confermare la decisione dell’Ufficio AI, con la quale ha negato l’intervento di un peggioramento rilevante delle condizioni dell’assicurata rispettivamente della sua capacità lavorativa, e, quindi, confermato il diritto alla mezza rendita. Occorre rammentare che in occasione della concessione della mezza rendita, con la decisione 16 novembre 2015 - cresciuta incontestata in giudicato e di conseguenza vincolante - l’amministrazione si era basata sulle varie certificazioni dei curanti, segnatamente quelle del dr. __________, ortopedico e traumatologo, del 27 novembre 2014 (per il quale nell’attività esercitata vi era una completa inabilità lavorativa a seguito della frattura al gomito sinistro; doc. AI 145), del dr. __________, gastroenterologo, del 18 dicembre 2014 (secondo cui per la diagnosi di epatite cronica attiva e dolori cronici alla spalla sinistra vi era un’inabilità lavorativa del 50% dal maggio 2014, doc. AI 148) e del dr. __________ dell’__________ di __________, laddove il 1. giugno 2015 aveva diagnosticato gli esiti della frattura alla spalla sinistra e una fibrosi epatica livello F3 su epatite C, con conseguenti limitazioni alla capacità lavorativa a motivo dei problemi al braccio sinistro e alla stanchezza attribuibile all’epatite avanzata (doc. AI 159). Nel rapporto finale del 27 luglio 2015 il dr. __________ del SMR, posta la diagnosi con influsso sulla capacità lavorativa di “ Epatite cronica C genotipo 3b in stato dopo trattamento con interferone dal gennaio 2004 e aprile 2005, attuale indicazione a nuovo trattamento ”, aveva quindi concluso per un grado di inabilità nell’attività abituale di ristoratrice del 80% dal maggio 2014, del 50% invece in un’attività leggera adeguata, laddove andavano evitati lavori pesanti, ripetitivi con il braccio sinistro e sopra l’altezza tavolo con il braccio sinistro (doc. AI 166). In occasione della revisione avviata nel luglio 2017 la situazione è apparsa sostanzialmente invariata. In effetti, anche il dr. __________, nella sua certificazione del 24 agosto 2017, ha confermato sostanzialmente le medesime diagnosi con influsso sulla capacità lavorativa, e quindi quelle di esiti da frattura all’omero sinistra nel 2009, epatite C cronica con fibrosi F3 (fibrosi avanzata con stato dopo cura antivirale 2016), oltre alle diagnosi senza influsso sulla capacità lavorativa di “ stato dopo resezione basalioma cuoio capelluto, ipertensione arteriosa incipiente, IMC 18.1 ”. Ha quindi certificato un’inabilità lavorativa completa per un lavoro in ristorante, osservando che era “ difficile pensare ad un’attività che non richieda il braccio sinistro” e definendo la prognosi stazionaria per fenomeni degenerativi. Quali impedimenti fisici ha menzionato “stanchezza, difficoltà di usare arto superiore sinistro ” (doc. AI 186). D’altra parte, anche il dr. __________, reumatologo, il 9 ottobre 2017, sulla base di allegati referti radiologici, ha in sostanza confermato la stabilità della precedente situazione, ponendo le diagnosi di “ Sindrome cervicospondilogena cronica in presenza di modiche alterazioni degenerative conformi all’età senza neurocompressione, anchilosi parziale del gomito sinistro dopo frattura circa 2010 ”, concludendo addirittura per una completa capacità lavorativa come badante (doc. AI 194). Ora, tale documentazione che non attesta sostanzialmente alcuna modifica della situazione valetudinaria rispetto all’epoca della decisione di attribuzione della mezza rendita, è stata sottoposta al SMR, il quale, con annotazione del 20 dicembre 2017, ha in effetti con pertinenza concluso per uno stato di salute invariato con prognosi stazionaria (doc. AI 197). Tale conclusione deve essere confermata da questo Tribunale. Nemmeno un’accurata valutazione degli atti medici prodotti in questa sede permette una diversa conclusione. Nel ricorso l’assicurata sostiene un peggioramento delle sue condizioni. Produce documenti già agli atti oltre a un certificato medico dell’8 febbraio 2018 del dr. __________, il quale, fa in sostanza valere una “sottovalutazione” di alcuni, non ben precisati, aspetti della polipatologia di cui soffre l’assicurata. Riferisce della frattura subita all'omero sinistro e dei relativi postumi, che provocherebbero “ un impedimento nello svolgimento delle attività quotidiane che sono impedite da dolori cronici nel braccio e spalla sinistra, i quali non permettono nemmeno ad estendere completamente il braccio sinistro ”. A questo proposito rileva che la valutazione del dr. __________ sia dal profilo scientifico “ sicuramente corretta ”, ma aggiunge che la stessa non terrebbe conto dell’astenia e del decondizionamento fisico secondario. Per quanto riguarda il suo campo specifico, lo specialista si limita a segnalare che l’epatite C cronica è stata nel frattempo eradicata, precisando nondimeno che “ pazienti con fibrosi avanzata hanno spesso una sindrome astenica ”. Sarebbe a suo avviso auspicabile “ una valutazione che integri i diversi impedimenti e problemi sopracitati da uno specialista della medicina del lavoro“ (doc. Q; cfr. in esteso al consid. 2.8). Ora, tale certificazione, che peraltro nemmeno si pronuncia chiaramente su una limitazione della capacità lavorativa, e che inoltre si estende a valutazioni, segnatamente riguardanti le sequele della frattura alla spalla sinistra, che nemmeno rientrano di principio nel suo campo di specializzazione, manifestamente non consente di comprovare un peggioramento delle condizioni dell’assicurata. Del resto, la stessa è stata sottoposta all’esame del medico SMR, il quale si è pronunciato in tal modo nell’Annotazione del 22 febbraio 2018: " (…) Dal rapporto del dr. __________ non risulta una modifica dello stato di salute rispetto alla valutazione precedente. La situazione osteoarticolare risulta invariata come certificato dal punto di vista reumatologico. A livello oggettivo non siamo in presenza di un peggioramento della situazione epatica, ricordo che è stato eseguito con successo il trattamento dell'epatite C cronica, infetto cronico ancora presente in occasione della precedente decisione. Ricordo anche che nella precedente decisione è stato debitamente tenuto conto dell’astenia riconoscendo un impedimento del 50% in attività confacente dal punto di vista osteoarticolare. In conclusione non risulta assolutamente condivisibile l'indicazione di un peggioramento dello stato di salute rispetto alla precedente decisione di rendita.” (doc. IV/1) Da tale conclusione, presa dal SMR dopo accurato esame del caso e della documentazione agli atti, questo Tribunale non ha motivo di scostarsi, osservato come con pertinenza il medico SMR rilevi che dell’astenia sia già stato debitamente tenuto conto in sede di attribuzione della mezza rendita, laddove all’assicurata è comunque stata riconosciuta una - non trascurabile - limitazione del 50% alla capacità lavorativa. Né del resto il dr. __________ evidenzia altri elementi che potrebbero giustificare un aumento dell’inabilità lavorativa, ove peraltro si rilevi che quanto attestato dall’internista non si discosta da quanto da lui medesimo certificato il 1. giugno 2015. Anzi, rispetto a quell’epoca la situazione sembrerebbe addirittura migliorata, visto che la stanchezza già allora ritenuta limitante era da attribuire “all’epatite avanzata”, e che dalla più recente certificazione dell’8 febbraio 2018 si evince tuttavia come tale patologia sia stata nel frattempo fortunatamente trattata con successo e quindi eradicata (doc. AI 159). Neppure l’ulteriore documentazione prodotta apporta nuovi elementi clinici di rilievo. In particolare, nel rapporto del 4 aprile 2018 il dr. __________ della clinica __________ si limita ad attestare fatti già noti, ovvero la presenza di dolori di origine incerta alla spalla sinistra in stato dopo trauma nel 2009 oltre a stato dopo frattura gomito sinistro con persistente limite funzionale con pochi dolori e in ogni modo una frattura consolidata in lieve deviazione della clavicola (doc. R1). Il 15 maggio 2018 il medesimo sanitario esclude inoltre la presenza di una lesione della capsula dei rotatori, segnala la presenza di dolori evocabili alla palpazione del bordo della scapola con indicazione a terapia del dolore e rileva che la vecchia frattura della clavicola risulta asintomatica (doc. R2). Ora, tali certificazioni non evidenziano un peggioramento né peraltro si esprimono su un’eventuale inabilità lavorativa. In proposito il medico SMR, il 23 luglio 2018, ha in effetti concluso: " (…) Dall’attuale documentazione non risultano nuove problematiche. Persistente una sintomatologia algica come descritta dal reumatologo dr. __________ nel suo rapporto del 22.2.2017. Da parte del dr. __________ non e stata oggettivata una particolare patologia alla base della sintomatologia algica lamentata. Confermo quindi l'esigibilità lavorativa come esposta nei rapporti precedenti.” (doc. XII/1) Infine, per quanto attiene alla problematica di nuova insorgenza evidenziata dal referto relativo ad una densitometria ossea effettuata il 20 settembre 2018 con riscontro di osteoporosi a livello femorale, con pertinenza il medico SMR, in data 17 dicembre 2018, ha osservato che “ la diagnosi di una osteoporosi non fratturativa non comporta ulteriori limiti funzionali ma è unicamente indicazione ad un trattamento dell'osteoporosi onde ridurre il rischio futuro di fratture ossee ” (doc. XVIII). Dalla documentazione prodotta dall’assicurata non è quindi possibile dedurre un peggioramento delle sue condizioni con influsso rilevante sulla capacità lavorativa. Richiamate peraltro anche le considerazioni che si impongono sulle certificazioni rese dai medici di fiducia (anche se specialisti; cfr. STF 9C_949/2010 del 5 luglio 2011, STFA U 202/01 del 7 dicembre 2001; cfr. consid. 2.6), il parere critico in punto alle conclusioni dell’amministrazione espresso dal dr. __________, che in ogni modo appare privo di motivazione e di una chiara conclusione sulla capacità lavorativa, risulta spiegabile con la diversità degli incarichi assunti (a scopo di trattamento piuttosto che di perizia: cfr. STF 9C_949/2010 del 5 luglio 2011) e in ogni modo non è manifestamente suscettibile di modificare le motivate conclusioni del SMR (doc. AI e doc. IV/1 e XII/1) e, di conseguenza, dell’amministrazione, non permettendo di ammettere l’intervento di un peggioramento delle condizioni dell’assicurata rilevante e tale da modificare il grado di invalidità. A tali conclusioni si deve aderire, ritenuto altresì come la valutazione eseguita dall’amministrazione non sia stata validamente smentita da altra documentazione medico-specialistica attestante nuove affezioni o una diversa valenza delle patologie diagnosticate. Nel suo ricorso l’assicurata contesta in effetti le conclusioni senza tuttavia proporre argomentazioni o produrre documentazione che possano in qualche modo rendere verosimile una rilevante modifica delle sue condizioni di salute. 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A questo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Inoltre il TFA (dal 1° gennaio 2007: TF), in una decisione del 24 agosto 2006 (I 938/05), ha evidenziato il valore probatorio delle opinioni espresse dai medici SMR nell’ambito dell’assicurazione per l’invalidità, sottolineando che in caso di divergenza tra il medico curante e il medico SMR non è per principio necessario procedere ad una nuova perizia. Visto quanto sopra, questo Tribunale, richiamata la suesposta giurisprudenza in materia di valore probatorio di rapporti medici, condivide le affidabili e concludenti valutazioni dei medici SMR (cfr. più in generale sul valore probatorio dei rapporti interni del SMR la sentenza I 143/07 del 14 settembre 2007, consid. 3.3; cfr. pure la sentenza 9C_949/2010 del 5 luglio 2011 con rinvii e 9C_376/2007 del 13 giugno 2008; cfr. sopra al consid. 2.6), che, con annotazioni 20 dicembre 2017 (doc. AI 197), 22 febbraio, 23 luglio e 17 dicembre 2018 (doc. IV/1, XII/1, XVIII), hanno valutato compiutamente la documentazione medica agli atti e sono giunti ad una conclusione logica e priva di contraddizioni. La stessa stabilisce che lo stato di salute della ricorrente non ha subito un rilevante peggioramento rispetto al momento della decisione di attribuzione della rendita del 16 novembre 2015. In queste condizioni va respinta la richiesta dell’insorgente di un ulteriore approfondimento medico, considerato come a mente di questo Tribunale la refertazione medica agli atti contiene elementi chiari e sufficienti per valutare l'incapacità al guadagno dell'assicurata sino all'emanazione del querelato provvedimento, senza che si renda quindi necessario l'esperimento di una perizia pluridisciplinare. Va a questo proposito evidenziato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 luce di quanto precede, in assenza di un peggioramento dello stato di salute con influenza sulla capacità lavorativa, rimasto invariato rispetto alla situazione presente all’epoca della decisione 16 novembre 2015, a giusta ragione l’ammini-strazione ha confermato il diritto ad una mezza rendita. La decisione impugnata va quindi confermata e il ricorso respinto.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