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32.2018.207 vom 22. Oktober 2018</w:t>
      </w:r>
    </w:p>
    <w:p>
      <w:r>
        <w:t>TI Tribunale d'appello, 2018-10-22, IT</w:t>
      </w:r>
    </w:p>
    <w:p>
      <w:r>
        <w:rPr>
          <w:b/>
        </w:rPr>
        <w:t xml:space="preserve">Quelle: </w:t>
      </w:r>
      <w:r>
        <w:t>https://mcp.opencaselaw.ch/entscheid/ti_gerichte_32.2018.207</w:t>
      </w:r>
    </w:p>
    <w:p>
      <w:r>
        <w:t>FR: TI_GERICHTE 32.2018.207 du 22 octobre 2018</w:t>
      </w:r>
    </w:p>
    <w:p>
      <w:r>
        <w:t>IT: TI_GERICHTE 32.2018.207 del 22 ottobre 2018</w:t>
      </w:r>
    </w:p>
    <w:p>
      <w:pPr>
        <w:pStyle w:val="Heading2"/>
      </w:pPr>
      <w:r>
        <w:t>Erwägungen</w:t>
      </w:r>
    </w:p>
    <w:p>
      <w:r>
        <w:rPr>
          <w:b/>
        </w:rPr>
        <w:t>E. 28</w:t>
      </w:r>
    </w:p>
    <w:p>
      <w:r>
        <w:t>novembre 2017 (cfr. pag. 400-401 incarto AI) e che avevano portato l’UAI a decidere di allestire una perizia pluridisciplinare che ha preso in considerazione le considerazioni della curante (cfr. pag. 433 incarto AI). La dr.ssa med. __________, generalista e dunque, a differenza dei consulenti del __________, non specialista negli ambiti medici qui in discussione, non apporta elementi di novità tali da mettere in dubbio la convincente, approfondita e motivata perizia amministrativa, non si confronta con il contenuto del referto del 17 maggio 2018 e non spiega i motivi per i quali non andrebbe condivisa. Il certificato si esaurisce in sostanza in una descrizione delle già note patologie della ricorrente, accuratamente approfondite in sede peritale sia dal dr. med. __________ (pag. 483-489 incarto AI), per quanto concerne l’aspetto reumatologico, sia dal dr. med. __________ (pag. 490-502 incarto AI) circa l’aspetto psichiatrico, sia dal dr. med. __________ (pag. 477-482) relativamente alle patologie endocrinologiche e diabetologiche. L’attestato del 14 novembre 2018 (doc. A2), succinto e poco motivato, pur giungendo a conclusioni diverse rispetto a quelle dei periti del __________, non è atto a mettere in dubbio il contenuto e le conclusioni della perizia amministrativa. A questo proposito va rammentato che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Alla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Con sentenza 9C_757/2016 del 10 febbraio 2017 il TF ha inoltre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Del resto anche il medico SMR, dr. med. __________, ha confermato le valutazioni peritali sia in sede amministrativa (cfr. pag. 507 incarto AI), sia in sede ricorsuale (doc. IV/1).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Inoltre va rilevato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In conclusione, stante quanto sopra esposto, sulla base delle affidabili e concludenti risultanze mediche agli atti, richiamato inoltre l'obbligo che incombe all'assicurata di intraprendere tutto quanto sia ragionevolmente esigibile per ovviare alle conseguenze del discapito economico cagionato dal danno alla salute (DTF 123 V 233 consid. 3c, 117 V 278 consid. 2b, 400 e i riferimenti ivi citati ), è da ritenere dimostrato, secondo il grado della verosimiglianza preponderante abitualmente applicato nel settore delle assicurazioni sociali (DTF 138 V 218 consid. 6 con riferimenti), che l’assicurata è inabile al lavoro nella misura del 50% in attività adatte al suo stato di salute con le limitazioni ivi descritte dal mese di aprile 2017. 2.5.   La ricorrente con le osservazioni del 28 gennaio 2019 (cfr. doc. VIII) non ha contestato il nuovo raffronto dei redditi proposto con la risposta di causa (doc. IV/2), sostenendo, come visto (consid. 2.4) a torto, di essere completamente inabile al lavoro. Il calcolo, per i motivi che seguono, va confermato. Circa il reddito da valida, l’ex datore di lavoro dell’interessata, interpellato dall’UAI, ha affermato che senza il danno alla salute il salario dell’insorgente dal 2016 al 2018 sarebbe stato di fr. 35'100 (cfr. pag. 511 incarto AI). Va qui rammentato che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concreto l ’amministrazione, accertato che l’insorgente da ultimo ha svolto l’attività di operaia nella produzione e montaggio di rulli per stampanti e dunque, secondo i dati evinti dall ' inchiesta svizzera sulla struttura dei salari 2014 , edita dall'Ufficio federale di statistica, più precisamente dalla tabella TA1 Rami economici (NOGA08), categoria 31-33, avrebbe potuto conseguire, nel 2016 (dati aggiornati dall’amministrazione sulla base della tabella TA1 2014), un reddito annuo di fr. 54'422, ha calcolato un gap salariale del 35.5%, di cui il 30.5% preso in considerazione nella riduzione del reddito da invalida, come stabilito a suo tempo nel rapporto del 23 ottobre 2008. Questo Tribunale rileva che i dati evinti dalla tabella TA1 2016 Rami economici (NOGA08), categoria 31-33, danno un reddito di fr. 54'643.05 (4'389 X 12 : 40 X 41.5). Aggiornato al 2017 (anno del peggioramento dello stato di salute; durata normale del lavoro di 41.6 ore e aumento salariale dello 0.5%), il reddito ammonta a fr. 55'048.59, ossia un gap del 36.23%, di cui il 31.23% va ritenuto per la riduzione del reddito da invalida. A questo proposito , u 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semplice di tipo fisico o manuale (ossia il livello 1 di competenze; STF 9C_632/2015 ) per 40 ore settimanali corrisponde ad un importo di fr. 52'356.- (fr. 4 '363 .- x 12 mesi). Riportando tale dato su 41.7 ore di durata media lavorativa settimanale nel 2017 e aggiornandolo secondo l’indice dei salari nominali, il dato statistico corrisponde a fr. 54'789.05 per un impiego a tempo pieno (52'356 : 40 X 41.7 : 105 X 105.4).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l’Ufficio AI, in sede di risposta (doc. IV), ha proceduto ad una riduzione del 10% per attività leggera e altri fattori di riduzione, che l’interessata non ha, rettamente, contestato. Questo Tribunale, che, di massima, non può senza motivi pertinenti sostituire il proprio apprezzamento a quello dell’amministrazione (cfr. DTF 137 V 71, consid. 5.2) non ha alcun motivo per modificare la riduzione applicata dall’UAI con la risposta di causa. In particolare il TCA, ritiene che, mediante la riduzione in questione, l’amministrazione abbia tenuto debitamente conto degli effetti legati al danno alla salute di cui è affetta l'assicurata. Ne segue che il reddito statistico ipotetico da invalida di fr. 54'789.05, va diminuito del 50% (riduzione del rendimento) a fr. 27'394.52, poi del 10% (per attività leggera e altri fattori di riduzione) a fr. 24'655.07 ed infine del 31.23% (gap salariale) a fr. 16'955.29. Raffrontando tale reddito con quello da valida di fr. 35'100 si ottiene un grado del 51.69% arrotondato secondo la giurisprudenza (DTF 130 V 121) al 52%, che dà diritto a ½ rendita AI come proposto dall’amministrazione in sede di risposta, con effetto dal 1° luglio 2017 (tre mesi dopo il peggioramento del mese di aprile 2017; art. 88a cpv. 2 OAI e 88bis cpv. 1 lett. a OAI). In tal senso la decisione impugnata va riformata ed il ricorso va parzialmente accolto. L’importo della rendita sarà calcolato dalla competente Cassa di compensazione, come rilevato dall’amministrazione in sede di risposta.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delle parti in ragione di metà ciascuno.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