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32.2018.198 vom 19. Oktober 2018</w:t>
      </w:r>
    </w:p>
    <w:p>
      <w:r>
        <w:t>TI Tribunale d'appello, 2018-10-19, IT</w:t>
      </w:r>
    </w:p>
    <w:p>
      <w:r>
        <w:rPr>
          <w:b/>
        </w:rPr>
        <w:t xml:space="preserve">Quelle: </w:t>
      </w:r>
      <w:r>
        <w:t>https://mcp.opencaselaw.ch/entscheid/ti_gerichte_32.2018.198</w:t>
      </w:r>
    </w:p>
    <w:p>
      <w:r>
        <w:t>FR: TI_GERICHTE 32.2018.198 du 19 octobre 2018</w:t>
      </w:r>
    </w:p>
    <w:p>
      <w:r>
        <w:t>IT: TI_GERICHTE 32.2018.198 del 19 ottobre 2018</w:t>
      </w:r>
    </w:p>
    <w:p>
      <w:pPr>
        <w:pStyle w:val="Heading2"/>
      </w:pPr>
      <w:r>
        <w:t>Erwägungen</w:t>
      </w:r>
    </w:p>
    <w:p>
      <w:r>
        <w:rPr>
          <w:b/>
        </w:rPr>
        <w:t>E. 13</w:t>
      </w:r>
    </w:p>
    <w:p>
      <w:r>
        <w:t>cpv. 1 LAI stabilisce che gli assicurati, fino al compimento dei 20 anni hanno diritto aiprovvedimenti sanitari necessari per la cura delle infermità congenite (art. 3 cpv. 2 LPGA).</w:t>
      </w:r>
    </w:p>
    <w:p>
      <w:r>
        <w:t>Il Consiglio federale designa le infermità per le quali sono concessi tali provvedimenti. Esso può escludere le prestazioni, se l'infermità è di poca importanza (art. 13 cpv. 2 LAI).</w:t>
      </w:r>
    </w:p>
    <w:p>
      <w:r>
        <w:t>Facendo uso della delega di competenza di cui sopra, l'Esecutivo federale ha emanato l'ordinanza sulle infermità congenite (OIC; RS 831.232.21).</w:t>
      </w:r>
    </w:p>
    <w:p>
      <w:r>
        <w:t>Questa autorità dispone di un largo potere di apprezzamento che le permette di optare per una regola generale (art. 1 OIC) o, nel caso di talune infermità, per dei criteri particolari, prendendo eventualmente in considerazione anche degli aspetti di ordine pratico (RDAT II-1999, n. 65; Pratique VSI 1999 p. 173 consid. 2b con riferimenti).</w:t>
      </w:r>
    </w:p>
    <w:p>
      <w:r>
        <w:t>Giusta l'art. 1 cpv. 2 OIC, le infermità congenite sono enumerate nell'elenco in allegato. Il Dipartimento federale dell'interno può qualificare delle infermità congenite evidenti, che non figurano nell'elenco in allegato, come infermità congenite giusta l'articolo 13 LAI.</w:t>
      </w:r>
    </w:p>
    <w:p>
      <w:r>
        <w:t>Lart. 2 cpv. 1 OIC dispone che il diritto nasce con linizio dei provvedimenti sanitari, ma al più presto a nascita avvenuta.</w:t>
      </w:r>
    </w:p>
    <w:p>
      <w:r>
        <w:t>Se la cura di uninfermità congenita viene assunta perché è necessaria una terapia precisata nellallegato, il diritto nasce con linizio del provvedimento; esso si estende in seguito a tutti i provvedimenti sanitari necessari alla cura dellinfermità congenita (cpv. 2).</w:t>
      </w:r>
    </w:p>
    <w:p>
      <w:r>
        <w:t>Sono reputati provvedimenti sanitari necessari alla cura di un'infermità congenita tutti i provvedimenti ritenuti validi dalla scienza medica e intesi a conseguire nel modo più semplice e funzionale lo scopo terapeutico (art. 2 cpv. 3 OIC).</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2.7.   Chiamato a pronunciarsi, il TCA non può,senza che prima vengano svolti ulteriori approfondimenti peritali, condividere la valutazione espressa dalla dr.ssa __________ del SMR nel rapporto finale del 20 luglio 2018, posto a fondamento della decisione impugnata.</w:t>
      </w:r>
    </w:p>
    <w:p>
      <w:r>
        <w:t>Tale modo di procedere del medico del SMR non appare corretto e non può essere avallato dal TCA, in quanto non conforme agli articoli 59bis cpv. 2 LAI in relazione con lart. 49 cpv. 1 OAI (cfr. STF 9C_404/2018 del 22 agosto 2018; DTF 142 V 58 consid. 5.1; 135 V 465 consid. 4.4.).</w:t>
      </w:r>
    </w:p>
    <w:p>
      <w:r>
        <w:t>Giova qui infatti ricordare che per lart. 59 cpv. 2bis LAI i servizi medici regionali sono a disposizionedegli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alle prestazioni.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(vedi DTF 136 V 376 consid. 4.1;sentenze9C_1001/2012 del 29 maggio 2013;9C_524/2010 del 27 ottobre 2010; 9C_9/2010 del 29 settembre 2010, 9C_323/2009 del 14 luglio 2009 consid. 4.2, in SVR 2009 IV n. 56 pag. 174, con riferimenti).</w:t>
      </w:r>
    </w:p>
    <w:p>
      <w:r>
        <w:t>Conformemente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ritiene che, nel caso di specie, il medico del SMR avrebbe dovuto chiarire selapparentepresenza del muscolo pettorale cui aveva fatto cenno la dr.ssa __________, fosse effettiva oppure no.</w:t>
      </w:r>
    </w:p>
    <w:p>
      <w:r>
        <w:t>Quindi in esito a tali complementi istruttori, lamministrazione si pronuncerà nuovamente sul diritto a prestazioni dellassicurata.</w:t>
      </w:r>
    </w:p>
    <w:p>
      <w:r>
        <w:t>In concreto, visto lesito del ricorso, le spese per fr. 500.-- vanno messe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