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32.2018.195 vom 4. September 2019</w:t>
      </w:r>
    </w:p>
    <w:p>
      <w:r>
        <w:t>TI Tribunale d'appello, 2019-09-04, IT</w:t>
      </w:r>
    </w:p>
    <w:p>
      <w:r>
        <w:rPr>
          <w:b/>
        </w:rPr>
        <w:t xml:space="preserve">Quelle: </w:t>
      </w:r>
      <w:r>
        <w:t>https://mcp.opencaselaw.ch/entscheid/ti_gerichte_32.2018.195</w:t>
      </w:r>
    </w:p>
    <w:p>
      <w:r>
        <w:t>FR: TI_GERICHTE 32.2018.195 du 4 septembre 2019</w:t>
      </w:r>
    </w:p>
    <w:p>
      <w:r>
        <w:t>IT: TI_GERICHTE 32.2018.195 del 4 settembre 2019</w:t>
      </w:r>
    </w:p>
    <w:p>
      <w:pPr>
        <w:pStyle w:val="Heading2"/>
      </w:pPr>
      <w:r>
        <w:t>Volltext</w:t>
      </w:r>
    </w:p>
    <w:p>
      <w:r>
        <w:t>Raccomandata</w:t>
      </w:r>
    </w:p>
    <w:p>
      <w:r>
        <w:t>Incarto n.32.2018.195</w:t>
      </w:r>
    </w:p>
    <w:p>
      <w:r>
        <w:t>cr</w:t>
      </w:r>
    </w:p>
    <w:p>
      <w:r>
        <w:t>Lugano</w:t>
      </w:r>
    </w:p>
    <w:p>
      <w:r>
        <w:t>4 settembre 2019</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vicecancelliera</w:t>
      </w:r>
    </w:p>
    <w:p>
      <w:r>
        <w:t>segretario:</w:t>
      </w:r>
    </w:p>
    <w:p>
      <w:r>
        <w:t>Gianluca Menghetti</w:t>
      </w:r>
    </w:p>
    <w:p>
      <w:r>
        <w:t>statuendo sul ricorso del 9 novembre 2018 di</w:t>
      </w:r>
    </w:p>
    <w:p>
      <w:r>
        <w:t>RI 1</w:t>
      </w:r>
    </w:p>
    <w:p>
      <w:r>
        <w:t>contro</w:t>
      </w:r>
    </w:p>
    <w:p>
      <w:r>
        <w:t>la decisione dell11 ottobre 2018 emanata da</w:t>
      </w:r>
    </w:p>
    <w:p>
      <w:r>
        <w:t>Ufficio assicurazione invalidità,6501 Bellinzona</w:t>
      </w:r>
    </w:p>
    <w:p>
      <w:r>
        <w:t>in materia di assicurazione federale per l'invalidità</w:t>
      </w:r>
    </w:p>
    <w:p>
      <w:r>
        <w:t>ritenuto,in fatto</w:t>
      </w:r>
    </w:p>
    <w:p>
      <w:r>
        <w:t>in diritto</w:t>
      </w:r>
    </w:p>
    <w:p>
      <w:r>
        <w:t>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2.2.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(cfr.R. Leuenberger - G. Mauro, Changements dans la méthode mixte, in Sécurité sociale 1/2018 pag. 40 seg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w:t>
      </w:r>
    </w:p>
    <w:p>
      <w:r>
        <w:t>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2.3.Nel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w:t>
      </w:r>
    </w:p>
    <w:p>
      <w:r>
        <w:t>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w:t>
      </w:r>
    </w:p>
    <w:p>
      <w:r>
        <w:t>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w:t>
      </w:r>
    </w:p>
    <w:p>
      <w:r>
        <w:t>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w:t>
      </w:r>
    </w:p>
    <w:p>
      <w:r>
        <w:t>LAlta Corte ha perciò concluso che vi è una violazione dellart. 14 combinato con lart. 8 CEDU allorquando le scelte (rientranti nella sfera di protezione dellart. 8 CEDU) prese dalla persona assicurata costituiscono lasolacausa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w:t>
      </w:r>
    </w:p>
    <w:p>
      <w:r>
        <w:t>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w:t>
      </w:r>
    </w:p>
    <w:p>
      <w:r>
        <w:t>Il Tribunale federale ha pertanto concluso che inquestocaso la soppressione del diritto ad una rendita non è conforme alla CEDU. Per la ricorrente ciò ha significato che il diritto alla mezza rendita andava ripristinato anche dopo il 31 agosto 2004.</w:t>
      </w:r>
    </w:p>
    <w:p>
      <w:r>
        <w:t>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w:t>
      </w:r>
    </w:p>
    <w:p>
      <w:r>
        <w:t>Linterpretazione data dal Tribunale federale nella DTF 143 I 50 (STF 9F_8/2016 del 20 dicembre 2016) è stata criticata dalla dottrina (u. Kieser, Gemischte Methode: ein Blick auf die bisherige Rechtsprechung, in: HAVE 2016 pag. 471 seg.(474);A. Mengis, IV Mutloser Entscheid des Bundesgerichts, in: Plädoyer 1/17 pag. 12 seg.).</w:t>
      </w:r>
    </w:p>
    <w:p>
      <w:r>
        <w:t>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w:t>
      </w:r>
    </w:p>
    <w:p>
      <w:r>
        <w:t>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w:t>
      </w:r>
    </w:p>
    <w:p>
      <w:r>
        <w:t>Come detto, il 1° gennaio 2018 sono entrati in vigore gli articoli 27 e 27biscpv. 2-4 OAI nel loro nuovo tenore (cfr. RU N. 107 del 19 dicembre 2017, pagg. 7581-7582). 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2.4.   Al fine di determinare il metodo di calcolo applicabile per stabilire l'eventuale invalidità, si deve anzitutto appurare se la persona esercitava o meno attività lucrativa immediatamenteprimadell'insorgere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inoltreMeyer-Blaser, Rechtsprechung des Bundesgerichts zum IVG, 2014, ad art. 5, pagg. 54-58 e 61-62 eBlanc, La procédure administrative en assurance-invalidité, Fribourg 1999, pag. 190).</w:t>
      </w:r>
    </w:p>
    <w:p>
      <w:r>
        <w:t>Questa valutazione deve ugualmente prendere in considerazione la volontà ipotetica dellassicurato che, in quanto fatto interno, deve essere in regola generale dedotta da indizi esterni (STF 9C_64/2012 dell11 luglio 2012 consid. 5.2; STFA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150;Meyer, op. cit., pag. 288;Blanc, op. cit., pag. 190-191).</w:t>
      </w:r>
    </w:p>
    <w:p>
      <w:r>
        <w:t>2.5.   Nella fattispecie in esame, lamministrazione, in applicazione del metodo misto di calcolo, ha considerato lassicurata salariata all80% e casalinga al 20% (doc. A).</w:t>
      </w:r>
    </w:p>
    <w:p>
      <w:r>
        <w:t>La patrocinatrice della ricorrente ha contestato tale ripartizione, facendo valere che lassicurata è stata attiva nel ramo della vendita prima di essere costretta, a causa di problemi di salute (dolori causati dalla protratta posizione in piedi), a cambiare attività riformandosi mentre era iscritta in disoccupazione quale aiuto domiciliare.</w:t>
      </w:r>
    </w:p>
    <w:p>
      <w:r>
        <w:t>La dr.ssa __________ del SMR ha considerato lassicurata, dopo precedenti periodi di inabilità lavorativa in percentuali variabili, stabilmente inabile al lavoro al 50% nella professione di aiuto domiciliare a partire dal 1° aprile 2016, ma abile al lavoro al 100%, a decorrere dal 28 settembre 2016, nello svolgimento di attività adeguate, rispettose delle sue limitazioni funzionali (doc. 85).</w:t>
      </w:r>
    </w:p>
    <w:p>
      <w:r>
        <w:t>In sede di osservazioni contro il progetto di rifiuto di prestazioni, la rappresentante dellassicurata ha contestato le risultanze mediche del rapporto del SMR, a suo avviso incomplete e inattendibili non avendo tenuto conto dellinsieme delle patologie dellinteressata, ma unicamente dei postumi infortunistici (doc. 105).</w:t>
      </w:r>
    </w:p>
    <w:p>
      <w:r>
        <w:t>Preso atto di queste critiche, lamministrazione ha ritenuto indispensabile una presa di posizione da parte del SMR.</w:t>
      </w:r>
    </w:p>
    <w:p>
      <w:r>
        <w:t>Al riguardo, con annotazioni del 4 ottobre 2018, la dr.ssa __________ del SMR ha sottolineato di avere elencato nel proprio rapporto finale linsieme dei disturbi presentati dallinteressata, sulla base di quanto indicato in sede peritale dal dr. __________. Ella ha rilevato come questultimo non si sia limitato a porre unicamente le diagnosi insorte quali conseguenze dellinfortunio del 13 luglio 2015, ma abbia tenuto conto anche delle diagnosi di natura extra-infortunistica, che erano già state indicate dal curante dellinteressata, dr. __________.</w:t>
      </w:r>
    </w:p>
    <w:p>
      <w:r>
        <w:t>Il medico del SMR ha aggiunto che del resto i disturbi di natura extra-infortunistica elencati siano in sostanza i medesimi già valutati dal dr. __________ nel 2001 e nella visita fiduciaria del dr. __________ del 2009 (cfr. doc. 109).</w:t>
      </w:r>
    </w:p>
    <w:p>
      <w:r>
        <w:t>Per tali ragioni, il medico del SMR ha concluso che mal si comprende la richiesta di un ulteriore accertamento, considerando che tutti gli specialisti che in questi anni hanno valutato lassicurata indirizzano la propria diagnosi verso un quadro fluttuante di nozione di artralgia cronica polidistrettuale a predominanza poliartralgica in contesto fibromialgico con componente somatoforme associata ad iperlassità legamentaria. Nozione di celiachia apparentemente ben controllata e osteoporosi. Una nuova ulteriore valutazione non confermerebbe altro che quanto diagnosticato dai curanti fin dal 2001 e convalidato dai numerosi specialisti interpellati. Inoltre non si apporterebbero nuovi strumenti atti ad alleviare i sintomi patiti dallassicurata e percepiti dalla stessa come invalidanti a fronte delle patologie oggettivabili, ascrivibili alla sfera somatoforme in un contesto fibromialgico (doc. 109).</w:t>
      </w:r>
    </w:p>
    <w:p>
      <w:r>
        <w:t>A fronte delle nuove obiezioni sollevate con il ricorso, la dr.ssa __________ del SMR, con annotazioni del 29 novembre 2018, ha ribadito le proprie posizioni, sottolineando che una nuova ulteriore valutazione non confermerebbe altro che quanto diagnosticato dai curanti fin dal 2001 e convalidato dai numerosi specialisti interpellati. Inoltre non si apporterebbero nuovi strumenti atti ad alleviare i sintomi patiti dallassicurata e percepiti dalla stessa come invalidanti a fronte delle patologie oggettivabili, ascrivibili alla sfera somatoforme in un contesto fibromialgico (doc. IV/1).</w:t>
      </w:r>
    </w:p>
    <w:p>
      <w:r>
        <w:t>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2.9.Questo Tribunale, chiamato a verificare se lo stato di salute della ricorrente è stato accuratamente vagliato dallamministrazione prima dellemissione della decisione impugnata, non può, senza che prima vengano svolti nuovi approfondimenti, ritenere pienamente probante il rapporto finale del 5 giugno 2018 della dr.ssa __________ del SMR, posto a fondamento della decisione impugnata.</w:t>
      </w:r>
    </w:p>
    <w:p>
      <w:r>
        <w:t>Il TCA constata, infatti, che nel proprio rapporto finale il medico del SMR ha ripreso quanto valutato dal dr. __________ nel referto peritale LAINF del 21 novembre 2016 redatto su incarico dellassicuratore perdita di guadagno HDI (__________).</w:t>
      </w:r>
    </w:p>
    <w:p>
      <w:r>
        <w:t>Ora, così facendo, se da una parte è vero che la dr.ssa __________ ha elencato linsieme delle problematiche lamentate dall'assicurata, ivi compresi i disturbi di natura extra-infortunistica, va daltra parte sottolineato che altrettanto non può dirsi per quanto concerne la valutazione della capacità lavorativa residua.</w:t>
      </w:r>
    </w:p>
    <w:p>
      <w:r>
        <w:t>Nel referto peritale del 21 novembre 2016, difatti, il dr. __________, dopo avere posto le diagnosi che affliggono complessivamente lassicurata (ivi comprese quelle estranee allinfortunio del luglio 2015) e dopo avere riconosciuto che i disturbi presentati dallassicurata al polso destro presentano un parziale nesso di causalità con levento infortunistico del luglio 2015 (mentre per un 50% sono influenzati da fattori extra-infortunistici), ha espressamente indicato che dellinteressata nello svolgimento dellattività di aiuto domiciliare a tempo pieno va considerata inabile al 50% tenendo conto del quadro clinico complessivo riscontratoal polso destro, ma va invece considerata in relazione con i postumi infortunistici riconducibili allevento del 13 luglio 2015 abile al lavoro al 100% in attività adatte (cfr. doc. 26 incarto LAINF, corsivo della redattrice).</w:t>
      </w:r>
    </w:p>
    <w:p>
      <w:r>
        <w:t>In tale ottica, appare del tutto ininfluente la motivazione addotta dalla dr.ssa __________ del SMR per giustificare linutilità (a suo parere) di un ulteriore accertamento peritale, in quanto non farebbe altro che riconfermare lesistenza delle diagnosi già note e diagnosticate da parte di tutti gli specialisti interpellati negli anni e non apporterebbe nuovi strumenti atti ad alleviare i sintomi patiti dallassicurata e percepiti dalla stessa come invalidanti a fronte delle patologie oggettivabili, ascrivibili alla sfera somatoforme in un contesto fibromialgico (doc. 109 e doc. IV/1).</w:t>
      </w:r>
    </w:p>
    <w:p>
      <w:r>
        <w:t>Nel caso di specie, infatti, non è oggetto di discussione fra le parti il fatto che lassicurata presenti un insieme variegato di disturbi, di origine sia infortunistica che morbosa.</w:t>
      </w:r>
    </w:p>
    <w:p>
      <w:r>
        <w:t>Neppure si tratta di trovare strumenti atti ad alleviare i sintomi dellassicurata.</w:t>
      </w:r>
    </w:p>
    <w:p>
      <w:r>
        <w:t>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sulle risultanze mediche del SMR.</w:t>
      </w:r>
    </w:p>
    <w:p>
      <w:r>
        <w:t>Nel caso di specie, nella decisione impugnata lamministrazione ha stabilito che lassicurata - ad eccezione del periodo dal 13 luglio 2015 al 13 ottobre 2015 (tre mesi dopo il sinistro) - non presenta limitazione alcuna in ambito domestico (doc. A), conformemente a quanto indicato dalla dr.ssa __________ nel rapporto finale del SMR del 5 giugno 2018 (doc. 85), poi confermato - dopo la presentazione delle contestazioni dellassicurata contro il progetto di rifiuto delle prestazioni del 5 luglio 2018 - con annotazioni del 4 ottobre 2018 (doc. 109).</w:t>
      </w:r>
    </w:p>
    <w:p>
      <w:r>
        <w:t>A seguito delle nuove contestazioni presentate in sede ricorsuale (doc. I) lUfficio AI, nella risposta di causa, ha ribadito che linteressata non presenta più alcuna limitazione in ambito casalingo a partire dal 13 ottobre 2015, così come spiegato dalla dr.ssa __________ del SMR nelle annotazioni del 29 novembre 2018 (doc. IV).</w:t>
      </w:r>
    </w:p>
    <w:p>
      <w:r>
        <w:t>Questultima in tale frangente ha giustificato il proprio apprezzamento rilevando come il perito LAINF dr. __________ nella valutazione del settembre 2016 ed il perito dr. __________ nel luglio 2009 non si sono pronunciati sullIL come casalinga (doc. IV/1).</w:t>
      </w:r>
    </w:p>
    <w:p>
      <w:r>
        <w:t>Il TCA non può condividere tali considerazioni espresse dalla dr.ssa __________ del SMR.</w:t>
      </w:r>
    </w:p>
    <w:p>
      <w:r>
        <w:t>Come pertinentemente rilevato dalla rappresentante dellassicurata, il fatto che in ambito infortunistico il dr. __________ non si sia espresso sullesistenza di una inabilità lavorativa in ambito domestico non può essere ritenuto un motivo sufficiente per escludere lesistenza di limitazioni nello svolgimento dellattività casalinga. In ambito infortunistico il perito è infatti chiamato ad esprimersi a proposito della capacità lavorativa e delle limitazioni funzionali dellassicurata in ambito lavorativo e non, invece, nelle mansioni casalinghe.</w:t>
      </w:r>
    </w:p>
    <w:p>
      <w:r>
        <w:t>Gli atti vanno quindi rinviati allUfficio AI affinché esegua i necessari accertamenti anche a proposito delle eventuali limitazioni presentate dallinteressata nellesecuzione dei compiti in ambito domestico.</w:t>
      </w:r>
    </w:p>
    <w:p>
      <w:r>
        <w:t>Sulla base delle relative risultanze, poi, qualora preliminarmente si confermi lapplicabilità del metodo misto di calcolo del grado di invalidità (cfr. consid. 2.6.), lamministrazione effettuerà un nuovo calcolo del grado di invalidità, con la relativa emissione di una nuova decisione.</w:t>
      </w:r>
    </w:p>
    <w:p>
      <w:r>
        <w:t>2.11.Vistol'esito favorevole del ricorso, l'assicurata, patrocinata dalla RA 1, ha diritto al versamento da parte dellassicuratore LAINF di fr. 1800.-- a titolo di ripetibili(art. 61 cpv. 1 lett. g LPGA).</w:t>
      </w:r>
    </w:p>
    <w:p>
      <w:r>
        <w:t>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r>
        <w:t>Per questi motivi</w:t>
      </w:r>
    </w:p>
    <w:p>
      <w:r>
        <w:t>dichiara e pronuncia</w:t>
      </w:r>
    </w:p>
    <w:p>
      <w:r>
        <w:t>§ La decisione impugnata dell11 ottobre 2018 è annullata.</w:t>
      </w:r>
    </w:p>
    <w:p>
      <w:r>
        <w:t>§§ Gli atti sono rinviati allamministrazione affinché proceda come indicato ai considerandi 2.6., 2.9. e 2.10..</w:t>
      </w:r>
    </w:p>
    <w:p>
      <w:r>
        <w:t>2.   Visto lesito della vertenza, le spese per complessivi fr. 500.-- sono poste a carico dellUfficio AI.</w:t>
      </w:r>
    </w:p>
    <w:p>
      <w:r>
        <w:t>LUfficio AI dovrà inoltre versare allassicurata fr. 1800.-- a titolo di ripetibili (IVA inclusa).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