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32.2018.187 vom 3. Oktober 2018</w:t>
      </w:r>
    </w:p>
    <w:p>
      <w:r>
        <w:t>TI Tribunale d'appello, 2018-10-03, IT</w:t>
      </w:r>
    </w:p>
    <w:p>
      <w:r>
        <w:rPr>
          <w:b/>
        </w:rPr>
        <w:t xml:space="preserve">Quelle: </w:t>
      </w:r>
      <w:r>
        <w:t>https://mcp.opencaselaw.ch/entscheid/ti_gerichte_32.2018.187</w:t>
      </w:r>
    </w:p>
    <w:p>
      <w:r>
        <w:t>FR: TI_GERICHTE 32.2018.187 du 3 octobre 2018</w:t>
      </w:r>
    </w:p>
    <w:p>
      <w:r>
        <w:t>IT: TI_GERICHTE 32.2018.187 del 3 ottobre 2018</w:t>
      </w:r>
    </w:p>
    <w:p>
      <w:pPr>
        <w:pStyle w:val="Heading2"/>
      </w:pPr>
      <w:r>
        <w:t>Regeste</w:t>
      </w:r>
    </w:p>
    <w:p>
      <w:r>
        <w:t>Prima domanda di rendita di persona con attività lucrativa a tempo parziale. Confermata valutazione medica ed economica relativa alla quota parte di salariata. Rinvio per l'espletamento di un'inchiesta domiciliare per casalinghe</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2.5.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Va qui segnalato che dal 1° gennaio 2018 è entrato in vigore il nuovo art. 27 cpv. 1 OAI . Con la modifica dell’Ordinanza sono state adeguate le attività nell’ambito delle mansioni consuete svolte dalle persone occupate nell’economia domestica (cfr. R. Leuenberger - G. Mauro, “Changements dans la méthode mixte”, in Sécurité sociale 1/2018 pag. 40 seg (45-46)). 2.6.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Infine va fatto presente che, oltre all’art. 27 OAI (cfr. consid. 2.5), anche l’art. 27bis cpv. 2 - 4 OAI è stato modificato con effetto dal 1° gennaio 2018. In particolare, conformemente all’art. 27bis cpv. 3 lett. a OAI, è stato introdotto un nuovo modello di calcolo. 2.7.   Nel caso in oggetto, va innanzitutto fatto presente come l’Ufficio AI abbia rettamente considerato l’assicurata, sulla base del questionario del datore di lavoro del 25 aprile 2017, salariata all’80% (32 ore alla settimana) ed il restante 20% quale casalinga (doc. 12 inc. AI). D’altronde questo riparto non è stato contestato dalla diretta interessata. 2.8. 2.8.1.   Per quel che concerne la parte salariata, con annotazioni 6 giugno 2018 il SMR, sulla base dei rapporti dei medici curanti raccolti, ha posto le seguenti diagnosi con ripercussione sulla capacità lavorativa: stato dopo acromioplastica e ricostruzione della cuffia dei rotatori spalla sinistra, scoliosi dell’adulto e spondolilolistesi degenerativa L4 associata a discopatia degenerative multilivello e grave artrosi apofisi articolari lombari. Quale diagnosi non invalidanti ha specificato un disturbo depressivo-ansioso nel contesto di una disfunzione professionale e di una problematica osteoarticolare da febbraio 2017. Individuate come esigibili “ attività lavorative senza sforzi fisici, la movimentazione di pesi  o la stazione eretta prolungata” , il succitato medico ha ritenuto l’assicurata totalmente inabile dal 16 febbraio 2017 (data dell’infortunio) nell’abituale attività di cuoca, ma pienamente abile in attività adeguate dal 20 marzo 2018 (doc. 30 inc. AI). Con rapporto del 20 marzo 2018 all’assicuratore perdita di guadagno in caso di malattia, il dr. med. Pedro Beraja, specialista in chirurgia ortopedica, ha attestato una totale incapacità lavorativa in attività pesanti, ritenendo possibile una ripresa lavorativa “ per quei lavori che non richiedono sforzi o movimentazioni di carichi, viceversa credo che in futuro non sia più praticabile un’attività lavorativa pesante come quella di cuoca svolta fino ad ora ” (doc. 35 incarto Cassa malati). Valutando i successivi rapporti dei curanti, il 28 agosto 2018 il medesimo medico SMR ha confermato la piena abilità in attività adeguate dal 20 marzo 2018, aggiornando come segue i limiti funzionali: “ Si considerano praticabili attività lavorative che non richiedano sforzi fisici, la movimentazione di pesi o la stazione eretta o seduta prolungata, camminare per lunghi tragitti, la necessità di lavorare con le braccia alzate, svolgere attività che coinvolgano un carico per il busto e gli arti inferiori e superiori ” (cfr. pag. 146 inc. AI). Questo TCA non intravede motivi che gli impediscono di far propria la valutazione operata dal SMR. A tal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9C_858/2014 del 2 settembre 2015 consid. 3.3.2, 9C_9/2010 del 29 settembre 2010, 9C_323/2009 del 14 luglio 2009 consid. 4.2, in SVR 2009 IV n. 56 p. 174, con riferimenti). Non va poi dimenticato che l’insorgente non ha prodotto alcun certificato medico, successivo al referto SMR, idoneo a sovvertirne le convincenti e motivate conclusioni. 2.8.2.   L’assicurata, vista la sua età (classe 1958), ritiene di non essere più collocabile. A tal proposito occorre ricordare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9C_918/2008 del 28 maggio 2009 consid. 4.2.1 e 4.2.2 , anche DTF 132 V 393 consid. 3.2). In che misura l'età influisca sulla possibilità di realizzare la capacità lavorativa residua non si valuta alla luce di un principio generale, bensì tenuto conto delle esigenze delle attività di riferimento (sentenza 9C_918/2008 consid. 4.2.2 con riferimenti). Per quel che concerne l’età , va ricordato che, precisando la sua giurisprudenza, il TF in una pronuncia del 25 ottobre 2012 ha statuito che il momento in cui la questione della messa a profitto della capacità lavorativa (residua) sul mercato del lavoro generale ed equilibrato di un assicurato in età avanzata deve essere esaminata è quello in cui è stato accertato che l’esercizio di un’attività lucrativa (parziale o completa) è ragionevolmente esigibile dal punto di vista medico (DTF 138 V 457). Nel caso che ci occupa, come visto, dal marzo 2018 l’assicu-rata è ritenuta abile al 100% in attività adeguate. Essendo nata nel __________ 1958, in quel momento essa aveva 60 anni. Premesso quanto sopra, va ricordato che, conformemente alla giurisprudenza, quando si tratta di valutare l’invalidità di un assicurato prossimo all’età del pensionamento occorre procedere ad un’analisi globale della situazione e domandarsi se, realisticamente, questo assicurato è in grado di reperire un impiego sul mercato equilibrato del lavoro. Quindi, indipendentemente dall’esame della condizione relativa al summenzionato obbligo di ridurre il danno, occorre stabilire se in concreto un potenziale datore di lavoro consentirebbe oggettivamente ad assumere l’assicurato, tenuto conto delle attività da esso ancora esigibili a causa delle sue affezioni, dell’even- tuale adattamento del posto di lavoro, della sua esperienza professionale e della sua situazione sociale, delle sue capacità di adeguarsi ad un nuovo impiego, del salario e dei contributi padronali da versare alla previdenza professionale come pure della prevedibile durata del rapporto di lavoro (DTF 138 V 457; STFA I 401/01 del 4 aprile 2002; I 617/02 del 10 marzo 2003; I 462/02 del 26 maggio 2003 = SVR 2003 IV Nr. 35, p. 107; I 376/05 del 5 agosto 2005; I 293/05 del 17 luglio 2006; I 831/05 del 21 agosto 2006; I 304/06 del 22 gennaio 2007; cfr. anche marg. 3050.1 della circolare sull’invalidità e sulla grande invalidità (CIGI)). A tal riguardo, nella STF I 293/05 del 17 luglio 2006 il TFA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In un’altra fattispecie il TF, nella STF I 304/06 del 22 gennaio 2007, nel caso di un assicurato di 60 anni totalmente inabile nella sua precedente attività di saldatore ma abile a svolgere nel corso di un’intera giornata un’attività leggera adeguata con una flessione del rendimento del 30% (per problemi reumatologici e cardiologici), lo ha ritenuto realisticamente ancora in grado di reperire un impiego sul mercato equilibrato. Nella STF I 359/2006 del 22 giugno 2007, l’Alta Corte, confermando la decisione del 10 marzo 2006 del TCA (cfr. inc. 32.2005.100), ha ritenuto esigibile lo sfruttamento della residua capacità (del 100%) sul mercato equilibrato del lavoro da parte di un assicurato, 58enne al momento della decisione dell’amministrazione, dato che dal profilo dell’età non erano realizzate le condizioni per ammettere una totale incapacità di guadagno per mancanza di possibilità reale di sfruttarne la residua capacità. Di analogo tenore anche la STF 9C_124/2010 del 21 settembre 2010 concernente un assicurato di 61 anni e mezzo al momento della decisione. Con tale pronuncia il TF, annullando il giudizio cantonale che aveva ritenuto che la residua capacità lavorativa dell’assicurato non era più sfruttabile sul mercato del lavoro, ha ritenuto esigibile lo sfruttamento della residua capacità sul mercato equilibrato del lavoro sottolineando come il fattore dell’età avanzata costituisce essenzialmente “solo” uno dei diversi fattori personali che influiscono sulle concrete opportunità professionali. Ai fini dell’esame della sfruttabilità assume un ruolo rilevante la capacità lavorativa residua, ritenuto come la possibilità di prestare ancora un’attività a tempo pieno, pur in considerazione di determinate limitazioni funzionali (segnatamente con riferimento alle attività pesanti o alla posizione da osservare durante l’attività lavorativa) gioca un ruolo importante nell’esame della reintegrabilità dell’assicurato. Sempre in merito alla reintegrabilità nel mondo del lavoro avuto riguardo all’età vedi anche la STCA 32.2015.114 del 27 giugno 2016 con ulteriori diversi riferimenti giurisprudenziali. Recentemente, in una sentenza 8C_892/2017 del 23 agosto 2018 al consid. 5 il TF ha confermato l'esigibilità lavorativa del ricorrente che al momento determinante aveva 62 anni ed era abile all'80% in attività adeguate alla luce della restrittiva prassi vigente in materia. In una sentenza 8C_117/2018 del 31 agosto 2018 al consid. 3 il TF ha confermato l'esigibilità lavorativa del ricorrente che al momento determinante aveva 62 anni ed era abile all'80% in attività adeguate alla luce della restrittiva prassi vigente in materia. Da ultimo, con sentenza del 13 dicembre 2018 questa Corte ha ritenuto integrabile un assicurato di 63 anni e quasi 7 mesi d’età con una piena abilità lavorativa in un lavoro leggero rispettoso delle limitazioni fisiche poste dal medico fiduciario SUVA (inc. 32.2018.106; consid. 2.6). Ritornando alla fattispecie concreta, sulla scorta della succitata giurisprudenza, questo TCA ritiene che l’assicurata possa mettere a frutto la sua residua capacità lavorativa in un mercato equilibrato del lavoro, considerato che al momento determinate della presente valutazione essa aveva ancora davanti a sé diversi anni prima del pensionamento. Vero che l’assicurata, conseguito nel 1979 l’attestato di capacità quale cuoca, ha sempre esercitato “la professione di cuoca ed aiuto cuoca presso vari esercizi pubblici in Svizzera interna e in Ticino” (rapporto 11 giugno 2018 del consulente in integrazione professionale in doc.</w:t>
      </w:r>
    </w:p>
    <w:p>
      <w:r>
        <w:rPr>
          <w:b/>
        </w:rPr>
        <w:t>E. 32</w:t>
      </w:r>
    </w:p>
    <w:p>
      <w:r>
        <w:t>inc. AI) e come l’ultimo datore di lavoro (__________ di __________) notificata la rescissione del contratto di lavoro con effetto al 31 gennaio 2019, abbia fatto presente di non trovare al suo interno una possibilità di ricollocamento (doc. VI/1). Non va tuttavia dimenticato che essa presenta ancora una piena capacità lavorativa in tutte quelle attività leggere, come riportato dal consulente IP: " (…) Nel caso in esame riteniamo che la capacità di guadagno dell'assicurata possa essere apprezzata al meglio nello svolgimento di attività esigibili adeguate di tipo semplice e ripetitivo indicate nelle tabelle RSS. In questo contesto si ritiene che il mercato del lavoro offra un ventaglio sufficientemente ampio di attività dal profilo fisico leggero o medio-leggero. All'assicurata può essere richiesto di sfruttare la sua residua capacità lavorativa in quei settori d'attività che non richiedono una preparazione professionale specifica, ma possono essere esercitate dopo un periodo d'introduzione al posto di lavoro ed un breve periodo di rodaggio. Si rileva che specialmente nell'ambito industriale, ma anche nel settore delle prestazioni di servizio, vi sono delle attività fisicamente assai leggere, che possono essere svolte alternando la posizione ( per esempio attività di mera sorveglianza/controllo, d'incasso, di assemblaggio, di confezione prodotti, ecc.). (…)” (cfr. pag. 101 inc. AI) A tal riguardo, va infatti ricordato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residua capacità lavorativa in attività professionali idonee. 2.8.3.   Per quel che concerne l’aspetto economico (rimasto peraltro totalmente incontestato), l’Ufficio AI ha proceduto al raffronto dei redditi per determinare il grado d’invalidità, valido dal marzo 2018 (momento del miglioramento della situazione valetudinaria) come segue: " (…) Reddito da valido: In assenza del danno alla salute in qualità di “cuoca” la signora RI 1 è in grado di percepire un guadagno annuo di Fr. 56'875.- nello svolgimento dell’attività al 100% (fonte: questionario datore di lavoro cfr. 25.07.2017, pto 5.1 e 5.3). Reddito da invalido: In conformità alla vigente giurisprudenza, in considerazione del fatto che la gamma di attività esigibili è piuttosto vasta, al fine di determinare il reddito da invalido di un assicurato è possibile far riferimento ai rilevamenti statistici ufficiali (tabelle RSS), editi periodicamente dall’Ufficio federale di statistica. Come da giurisprudenza imposta dal Tribunale federale delle assicurazioni è stata stabilita l’inapplicabilità dei valori regionali (tabella TA13). Il reddito da invalido deve pertanto essere determinato in applicazione dei valori nazionali (tabella TA 1). Considerando una capacità di lavoro del 100% praticando la riduzione del 20% (riduzione complessiva dal reddito da invalido del 20% per attività leggera e altri fattori di riduzione), sulla base delle statistiche teoriche RSS (attività semplici e ripetitive, mediana; dati riferiti alla realtà economica nazionale, in base alla giurisprudenza) riusulta un reddito d’invalido di Fr. 43'485.-. Nel caso specifico dal raffronto tra il reddito annuo in assenza del danno alla salute (Fr. 56'875.-) con quello ottenibile in attività adeguata allo stato di salute (Fr. 43'485.-), riuslta una perdita di guadagno del 24%. (…)” (cfr. pag. 180-181 inc. AI) Il succitato calcolo merita di essere avallato. Lo stesso infatti si è correttamente fondato per quanto riguarda il salario da valido tenendo conto dei dati salariali forniti dall’ormai ex datore di lavoro, mentre il salario da invalido è stato evinto dati statistici, utilizzando i dati salariali della tabella TA1 elaborata dall'Ufficio federale di statistica riferita al settore privato svizzero (a proposito della rilevanza delle condizioni salariali nel settore privato, cfr. RAMI 2001 U 439, pp. 347ss. e SVR 2002 UV 15, pp. 47ss.). 2.9.   In merito alla parte casalinga, l’Ufficio AI non ha proceduto alla consueta inchiesta economica per persone domestiche. Pur non essendovi un obbligo in tal senso (cfr. STF 9C_103/2010 del 2 settembre 2010 consid. 2.2 ), viste le “nuove” limitazioni fisiche, questo TCA concorda con il SMR nel ritenere necessario l’espletamento di un’inchiesta. Terminata l’istruttoria, valutata la fattispecie alla luce delle nuove risultanze, l’amministrazione si pronuncerà nuovamente sul diritto alla rendita successivamente il 1° luglio 2018, fermo restando il diritto di quest’ultima ad almeno una intera rendita dal 1° gennaio 2018 al 30 giugno 2018, considerato come tale diritto non sia contestato (cfr. la sentenza 9C_205/2011 del 10 novembre 2011, consid. 8.4, penultimo paragrafo).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 diritto (non contestato) ad almeno una rendita nel dispositivo della presente sentenza (cfr. anche la ST 9C_205/2011 del 10 novembre 2011, consid. 8.4, penultimo paragrafo) su questo specifico punto non vi è spazio per una reformatio in peius (cfr. STCA 32.2014.70 del 30 marzo 2015). 2.10.   Litigioso, infine, è il rifiuto dell’assistenza giudiziaria con gratuito patrocinio in ambito amministrativo richiesta dal legale dell’assicurata con le osservazioni 9 aprile 2018 al (secondo) progetto di decisione del 21 febbraio 2018 (doc. 53 inc. AI). L'art.</w:t>
      </w:r>
    </w:p>
    <w:p>
      <w:r>
        <w:rPr>
          <w:b/>
        </w:rPr>
        <w:t>E. 37</w:t>
      </w:r>
    </w:p>
    <w:p>
      <w:r>
        <w:t>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(Kieser, ATSG Kommentar, 2009, ad art. 37, n. 22, p. 504). Per il resto, quali presupposti del gratuito patrocinio valgono (cumulativamente) l'indigenza del richiedente, la necessità del patrocinio e la probabilità di esito favorevole e la concretizzazione delle singole condizioni ha luogo in analogia con i corrispondenti criteri applicabili nella procedura giudiziaria ex art. 61 LPGA (Kieser, op. cit., ad art. 37, n. 23, p. 504).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L a necessità o meno dell’assistenza di un avvocato durante la procedura di opposizione dipende dunque esclusivamente dal tipo di problematiche che vengono trattate nella decisione impugnata (cfr. anche STF I 911/06 del 2 febbraio 2007; cfr. anche STF 8C-669/2016 del 7 aprile 2017). Nella presente fattispecie, secondo questa Corte la necessità di un legale non è data trattandosi di una procedura che verte su questioni mediche ed economiche ordinarie nelle vertenze AI, che non richiedono pertanto l’intervento di un patrocinatore al di fuori della cerchia di persone attive nel settore delle assicurazioni sociali. Pertanto, l’amministrazione correttamente ha negato il diritto all’assistenza giudiziaria in ambito amministrativo. Su questo punto la decisione contestata va confermata.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2.12.   La ricorrente, patrocinata da un avvocato e vittoriosa in causa, ha diritto ad un’indennità per ripetibili (art. 61 lett. g LPGA e 30 cpv. 1 Lptca). L’assegnazione di ripetibili rende priva di oggetto la domanda di assistenza giudiziaria (DTF 124 V 309, consid. 6 e, tra le tante, STF 9C_274/2014 del 30 settembre 2014 consid. 5; 9C_335/2011 del 14 marzo 2012 consid. 5 e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