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32.2018.184 vom 26. September 2018</w:t>
      </w:r>
    </w:p>
    <w:p>
      <w:r>
        <w:t>TI Tribunale d'appello, 2018-09-26, IT</w:t>
      </w:r>
    </w:p>
    <w:p>
      <w:r>
        <w:rPr>
          <w:b/>
        </w:rPr>
        <w:t xml:space="preserve">Quelle: </w:t>
      </w:r>
      <w:r>
        <w:t>https://mcp.opencaselaw.ch/entscheid/ti_gerichte_32.2018.184</w:t>
      </w:r>
    </w:p>
    <w:p>
      <w:r>
        <w:t>FR: TI_GERICHTE 32.2018.184 du 26 septembre 2018</w:t>
      </w:r>
    </w:p>
    <w:p>
      <w:r>
        <w:t>IT: TI_GERICHTE 32.2018.184 del 26 settembre 2018</w:t>
      </w:r>
    </w:p>
    <w:p>
      <w:pPr>
        <w:pStyle w:val="Heading2"/>
      </w:pPr>
      <w:r>
        <w:t>Erwägungen</w:t>
      </w:r>
    </w:p>
    <w:p>
      <w:r>
        <w:rPr>
          <w:b/>
        </w:rPr>
        <w:t>E. 3</w:t>
      </w:r>
    </w:p>
    <w:p>
      <w:r>
        <w:t>LPGA (cfr. art. 5 LAI) parifica l'impedimento di svolgere le proprie mansioni consuete all'incapacità al guadagno (metodo specificodi calcolo dell'invalidità; SVR 1996 IV Nr. 76 consid. 1; RCC 1986 pag. 246 consid. 2b; DTF 104 V 136).</w:t>
      </w:r>
    </w:p>
    <w:p>
      <w:r>
        <w:t>In questo senso, l'art. 28a cpv. 2 LAI prevede che l'invalidità dell'assicurato che non esercita un'attività lucrativama svolge le mansioni consuete e dal quale non si può ragionevolmente esigere che intraprenda un'attività lucrativa è valutata, in deroga all'articolo 16 LPGA, in funzione dell'incapacità di svolgere le mansioni consuete.</w:t>
      </w:r>
    </w:p>
    <w:p>
      <w:r>
        <w:t>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w:t>
      </w:r>
    </w:p>
    <w:p>
      <w:r>
        <w:t>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w:t>
      </w:r>
    </w:p>
    <w:p>
      <w:r>
        <w:t>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w:t>
      </w:r>
    </w:p>
    <w:p>
      <w:r>
        <w:t>Nel nuovo tenore in vigore dal 1° gennaio 2018, lart. 27 cpv. 1 OAIprevede chepermansioni consuete secondo l'articolo 7 capoverso 2 LAI di assicurati occupati nell'economia domestica s'intendono gli usuali lavori domestici nonché la cura e l'assistenza ai familiari.</w:t>
      </w:r>
    </w:p>
    <w:p>
      <w:r>
        <w:t>Il nuovo art. 27 cpv. 2 OAI stabilisce che per mansioni consuete secondo l'articolo 7 capoverso 2 LAI di membri di comunità di religiosi s'intende ogni attività svolta nella comunità.</w:t>
      </w:r>
    </w:p>
    <w:p>
      <w:r>
        <w:t>Con la modifica dellOrdinanza sono state adeguate le attività nellambito delle mansioni consuete svolte dalle persone occupate nelleconomia domestica (cfr.R. Leuenberger - G. Mauro, Changements dans la méthode mixte, in Sécurité sociale 1/2018 pag. 40 seg (45-46)).</w:t>
      </w:r>
    </w:p>
    <w:p>
      <w:r>
        <w:t>Come emerge dalle spiegazioni pubblicate dallUfficio federale delle assicurazioni sociali alla Modifica dellordinanza del 17 gennaio 1961 sullassicurazione per linvalidità (OAI)  Valutazione dellinvalidità per gli assicurati che esercitano unattività lucrativa a tempo parziale (metodo misto)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w:t>
      </w:r>
    </w:p>
    <w:p>
      <w:r>
        <w:t>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w:t>
      </w:r>
    </w:p>
    <w:p>
      <w:r>
        <w:t>Come evidenziato dallUfficio federale sugli adeguamenti del metodo misto (cfr. punto III pag. 9), dal 1° gennaio 2018 il nuovo art. 27 OAI pone quindi laccento sui lavori domestici necessari che possono essere equiparati ad unattività lucrativa.</w:t>
      </w:r>
    </w:p>
    <w:p>
      <w:r>
        <w:t>Per stabilire se unattività nellambito delle mansioni consuete possa essere equiparata a unattività lucrativa, è determinante il criterio dei terzi e quindi bisogna chiedersi se si tratti di unattività che può essere eseguita da terzi (persone o ditte) dietro pagamento.</w:t>
      </w:r>
    </w:p>
    <w:p>
      <w:r>
        <w:t>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w:t>
      </w:r>
    </w:p>
    <w:p>
      <w:r>
        <w:t>Oltre ai citati classici lavori domestici, va considerata anche la cura e lassistenza ai familiari; rilevante è però che essi vivano nella stessa economia domestica dellassicurato.</w:t>
      </w:r>
    </w:p>
    <w:p>
      <w:r>
        <w:t>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solodopolinsorgere del danno alla salute. Se, per contro, lassicurato ricorreva a prestazioni di terzi a proprie spese giàprimadellinsorgere del danno alla salute, allora per queste attività non vè una limitazione di cui tenere conto, dato che continuano ad essere svolte da terzi come prima.</w:t>
      </w:r>
    </w:p>
    <w:p>
      <w:r>
        <w:t>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w:t>
      </w:r>
    </w:p>
    <w:p>
      <w:r>
        <w:t>Le nuove norme dellOrdinanza hanno comportato la modifica della Circolaresullinvalidità e la grande invalidità nellassicurazione per linvalidità (CIGI) la quale, valida dal 1° gennaio 2015 e nella versione in vigore dal 1° gennaio 2018, ai NN. 3081 segg. spiega come deve procederelassistente sociale nella sua inchiesta domiciliare per calcolare il grado di invalidità in generale.</w:t>
      </w:r>
    </w:p>
    <w:p>
      <w:r>
        <w:t>2.3.Nel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w:t>
      </w:r>
    </w:p>
    <w:p>
      <w:r>
        <w:t>Questo metodo di graduazione dell'invalidità (detto "metodo misto") è stato ancora una volta dichiarato conforme alla legge dal TFA in DTF 125 V 146.</w:t>
      </w:r>
    </w:p>
    <w:p>
      <w:r>
        <w:t>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w:t>
      </w:r>
    </w:p>
    <w:p>
      <w:r>
        <w:t>Questa giurisprudenza è stata ribadita ulteriormente nelle DTF 137 V 334, DTF 133 V 504 e DTF 133 V 477.</w:t>
      </w:r>
    </w:p>
    <w:p>
      <w:r>
        <w:t>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w:t>
      </w:r>
    </w:p>
    <w:p>
      <w:r>
        <w:t>Ricordato che ilmetodo mistoè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ilmetodo ordinario(DTF 131 V 51).</w:t>
      </w:r>
    </w:p>
    <w:p>
      <w:r>
        <w:t>Chiamata a pronunciarsi in un caso in cui si trattava di valutarel'invalidità per gli assicurati che esercitano un'attività lucrativa a tempo parziale senza consacrare il loro tempo libero allo svolgimento delle mansioni consuete, lAlta Corte,nella DTF 142 V 290, ha stabilito chela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w:t>
      </w:r>
    </w:p>
    <w:p>
      <w:r>
        <w:t>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w:t>
      </w:r>
    </w:p>
    <w:p>
      <w:r>
        <w:t>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w:t>
      </w:r>
    </w:p>
    <w:p>
      <w:r>
        <w:t>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w:t>
      </w:r>
    </w:p>
    <w:p>
      <w:r>
        <w:t>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w:t>
      </w:r>
    </w:p>
    <w:p>
      <w:r>
        <w:t>LAlta Corte ha perciò concluso che vi è una violazione dellart. 14 combinato con lart. 8 CEDU allorquando le scelte (rientranti nella sfera di protezione dellart. 8 CEDU) prese dalla persona assicurata costituiscono lasolacausa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w:t>
      </w:r>
    </w:p>
    <w:p>
      <w:r>
        <w:t>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w:t>
      </w:r>
    </w:p>
    <w:p>
      <w:r>
        <w:t>Il Tribunale federale ha pertanto concluso che inquestocaso la soppressione del diritto ad una rendita non è conforme alla CEDU. Per la ricorrente ciò ha significato che il diritto alla mezza rendita andava ripristinato anche dopo il 31 agosto 2004.</w:t>
      </w:r>
    </w:p>
    <w:p>
      <w:r>
        <w:t>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w:t>
      </w:r>
    </w:p>
    <w:p>
      <w:r>
        <w:t>Linterpretazione data dal Tribunale federale nella DTF 143 I 50 (STF 9F_8/2016 del 20 dicembre 2016) è stata criticata dalla dottrina (u. Kieser, Gemischte Methode: ein Blick auf die bisherige Rechtsprechung, in: HAVE 2016 pag. 471 seg.(474);A. Mengis, IV Mutloser Entscheid des Bundesgerichts, in: Plädoyer 1/17 pag. 12 seg.).</w:t>
      </w:r>
    </w:p>
    <w:p>
      <w:r>
        <w:t>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w:t>
      </w:r>
    </w:p>
    <w:p>
      <w:r>
        <w:t>Nella STF 9C_525/2016 del 15 marzo 2017 il TF ha sottolineato come l'UFAS medesimo nella direttiva n. 355 del 31 ottobre 2016 ha segnalato che il Consiglio federale sta cercando di trovare una soluzione adeguata al problema (sullargomento cfr. la STCA 32.2017.53 del 13 novembre 2017 e la STCA 32.2016.86 del 15 maggio 2017).</w:t>
      </w:r>
    </w:p>
    <w:p>
      <w:r>
        <w:t>Come detto, il 1° gennaio 2018 sono entrati in vigore gli articoli 27 e 27biscpv. 2-4 OAI nel loro nuovo tenore (cfr. RU N. 107 del 19 dicembre 2017, pagg. 7581-7582). Al riguardo, dal comunicato stampa del 1° dicembre 2017 dellUFAS intitolatoMaggiore equità nel calcolo del grado dinvalidità dei lavoratori a tempo parziale,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w:t>
      </w:r>
    </w:p>
    <w:p>
      <w:r>
        <w:t>2.4.   Al fine di determinare il metodo di calcolo applicabile per stabilire l'eventuale invalidità, si deve anzitutto appurare se la persona esercitava o meno attività lucrativa immediatamenteprimadell'insorgere dell'invalidità. Occorre in seguito verificare,fondandosi sulla globalità delle circostanze, se,ipoteticamente, in assenza del danno alla salute, l'assicurato avrebbe o meno esercitato un'attività lavorativa.</w:t>
      </w:r>
    </w:p>
    <w:p>
      <w:r>
        <w:t>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w:t>
      </w:r>
    </w:p>
    <w:p>
      <w:r>
        <w:t>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inoltreMeyer-Blaser, Rechtsprechung des Bundesgerichts zum IVG, 2014, ad art. 5, pagg. 54-58 e 61-62 eBlanc, La procédure administrative en assurance-invalidité, Fribourg 1999, pag. 190).</w:t>
      </w:r>
    </w:p>
    <w:p>
      <w:r>
        <w:t>Questa valutazione deve ugualmente prendere in considerazione la volontà ipotetica dellassicurato che, in quanto fatto interno, deve essere in regola generale dedotta da indizi esterni (STF 9C_64/2012 dell11 luglio 2012 consid. 5.2; STFA I 693/06 del 20 dicembre 2006, consid. 4.1.).</w:t>
      </w:r>
    </w:p>
    <w:p>
      <w:r>
        <w:t>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150;Meyer, op. cit., pag. 288;Blanc, op. cit., pag. 190-191).</w:t>
      </w:r>
    </w:p>
    <w:p>
      <w:r>
        <w:t>2.5.   Nella fattispecie in esame, lamministrazione, in applicazione del metodo misto di calcolo, ha considerato lassicurata salariata al 77% e casalinga al 23% (doc. A2).</w:t>
      </w:r>
    </w:p>
    <w:p>
      <w:r>
        <w:t>La patrocinatrice della ricorrente ha contestato tale ripartizione, facendo valere che se inizialmente (nel 2000) un impiego a tempo ridotto era congeniale allinteressata, permettendole di conciliare vita privata (con due figli minorenni in età scolare) e attività lavorativa, la situazione è poi mutata a seguito del divorzio (intervenuto nel 2010), con i figli a quel momento ormai maggiorenni.</w:t>
      </w:r>
    </w:p>
    <w:p>
      <w:r>
        <w:t>Nel caso di specie, nella decisione impugnata lamministrazione ha stabilito che lassicurata non presenta limitazione alcuna in ambito domestico (doc. A2), conformemente a quanto indicato nel rapporto del SMR del 9 luglio 2018 (doc. 112), poi confermato - dopo la presentazione delle contestazioni dellassicurata contro il progetto di rifiuto delle prestazioni del 30 luglio 2018, corroborate da due referti del dr. __________ attestanti la necessità per linteressata di fare capo ad un aiuto domiciliare per motivi di salute (doc. 122 e allegati) - con annotazioni del 4 settembre 2018 (doc. 124).</w:t>
      </w:r>
    </w:p>
    <w:p>
      <w:r>
        <w:t>A seguito delle nuove contestazioni presentate in sede ricorsuale  facendo valere come lamministrazione abbia omesso di tenere conto del fatto che la necessità di un aiuto domiciliare, così come il dover fare ricorso allaiuto della figlia non convivente, è dettatoda ragioni mediche(doc. I, corsivo della redattrice)  lUfficio AI, nella risposta di causa, ha proposto al TCA di volere ritornare gli atti allamministrazione per procedere allistruttoria del caso in merito alla quota-parte di casalinga, ritenendo che vagliate le valutazioni poste in ambito medico, considerate le limitazioni funzionali ritenute, osservata la necessità richiesta dallassicurata dellaiuto domiciliare di terzi su certificazione medica (cfr. certificati del dr. med. __________ annessi al ricorso), lo scrivente Ufficio AI rileva la necessità, nel caso in esame, di approfondire la situazione in ambito casalingo, procedendo ad uninchiesta domiciliare che determini con maggiore dettaglio limpedimento funzionale effettivo nello svolgimento delle mansioni consuete (doc. V).</w:t>
      </w:r>
    </w:p>
    <w:p>
      <w:r>
        <w:t>Il TCA, per i motivi pertinentemente riassunti dallUfficio AI, condivide la proposta formulata dallamministrazione nella risposta di causa.</w:t>
      </w:r>
    </w:p>
    <w:p>
      <w:r>
        <w:t>Gli atti vanno quindi rinviati allUfficio AI affinché esegua i necessari accertamenti in ambito domestico.</w:t>
      </w:r>
    </w:p>
    <w:p>
      <w:r>
        <w:t>Sulla base delle relative risultanze, poi, qualora preliminarmente si confermi lapplicabilità del metodo misto di calcolo del grado di invalidità (cfr. consid. 2.6.), lamministrazione effettuerà un nuovo calcolo del grado di invalidità, con la relativa emissione di una nuova decisione.</w:t>
      </w:r>
    </w:p>
    <w:p>
      <w:r>
        <w:t>2.8.   Lassicurata ha chiesto di essere posta al beneficiodellassistenza giudiziaria con gratuito patrocinio (cfr. doc. I).</w:t>
      </w:r>
    </w:p>
    <w:p>
      <w:r>
        <w:t>Vistol'esito favorevole del ricorso, l'assicurata, patrocinata dalla RA 1, ha diritto al versamento da parte dellassicuratore LAINF di fr. 1800.-- a titolo di ripetibili(art. 61 cpv. 1 lett. g LPGA).</w:t>
      </w:r>
    </w:p>
    <w:p>
      <w:r>
        <w:t>La domanda di assistenza giudiziaria per la procedura ricorsuale diventa pertanto priva di oggetto (DTF 124 V 309, consid. 6 e, tra le tante, STF 9C_274/2014 del 30 settembre 2014 consid. 5; STF 9C_335/2011 del 14 marzo 2012 consid. 5, STF 9C_206/2011 del 16 agosto 2011 consid. 5, STF 9C_352/2010 del 30 agosto 2010 consid. 3).</w:t>
      </w:r>
    </w:p>
    <w:p>
      <w:r>
        <w:t>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