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32.2018.174 vom 9. Oktober 2018</w:t>
      </w:r>
    </w:p>
    <w:p>
      <w:r>
        <w:t>TI Tribunale d'appello, 2018-10-09, IT</w:t>
      </w:r>
    </w:p>
    <w:p>
      <w:r>
        <w:rPr>
          <w:b/>
        </w:rPr>
        <w:t xml:space="preserve">Quelle: </w:t>
      </w:r>
      <w:r>
        <w:t>https://mcp.opencaselaw.ch/entscheid/ti_gerichte_32.2018.174</w:t>
      </w:r>
    </w:p>
    <w:p>
      <w:r>
        <w:t>FR: TI_GERICHTE 32.2018.174 du 9 octobre 2018</w:t>
      </w:r>
    </w:p>
    <w:p>
      <w:r>
        <w:t>IT: TI_GERICHTE 32.2018.174 del 9 ottobre 2018</w:t>
      </w:r>
    </w:p>
    <w:p>
      <w:pPr>
        <w:pStyle w:val="Heading2"/>
      </w:pPr>
      <w:r>
        <w:t>Volltext</w:t>
      </w:r>
    </w:p>
    <w:p>
      <w:r>
        <w:t>Raccomandata</w:t>
      </w:r>
    </w:p>
    <w:p>
      <w:r>
        <w:t>Incarto n.32.2018.174</w:t>
      </w:r>
    </w:p>
    <w:p>
      <w:r>
        <w:t>cr</w:t>
      </w:r>
    </w:p>
    <w:p>
      <w:r>
        <w:t>Lugano</w:t>
      </w:r>
    </w:p>
    <w:p>
      <w:r>
        <w:t>14 agosto 2019</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Cinzia Raffa Somaini, vicecancelliera</w:t>
      </w:r>
    </w:p>
    <w:p>
      <w:r>
        <w:t>segretario:</w:t>
      </w:r>
    </w:p>
    <w:p>
      <w:r>
        <w:t>Gianluca Menghetti</w:t>
      </w:r>
    </w:p>
    <w:p>
      <w:r>
        <w:t>statuendo sul ricorso del 22 ottobre 2018 di</w:t>
      </w:r>
    </w:p>
    <w:p>
      <w:r>
        <w:t>RI 1</w:t>
      </w:r>
    </w:p>
    <w:p>
      <w:r>
        <w:t>contro</w:t>
      </w:r>
    </w:p>
    <w:p>
      <w:r>
        <w:t>la decisione del 9 ottobre 2018 emanata da</w:t>
      </w:r>
    </w:p>
    <w:p>
      <w:r>
        <w:t>Ufficio assicurazione invalidità,6501 Bellinzona</w:t>
      </w:r>
    </w:p>
    <w:p>
      <w:r>
        <w:t>in materia di assicurazione federale per l'invalidità</w:t>
      </w:r>
    </w:p>
    <w:p>
      <w:r>
        <w:t>ritenuto,in fatto</w:t>
      </w:r>
    </w:p>
    <w:p>
      <w:r>
        <w:t>1.3.   Contro la succitata decisione lassicurato ha interposto il presente ricorso, postulando lannullamento della decisione impugnata e una rivalutazione del proprio stato di salute attraverso una perizia indipendente.</w:t>
      </w:r>
    </w:p>
    <w:p>
      <w:r>
        <w:t>A suo parere, difatti, non può essere condivisa la valutazione peritale con la quale il dr. __________ lo ha ritenuto pienamente abile al lavoro nellattività di meccanico dautomobili, in netto contrasto con quanto, invece, valutato da tre neurochirurghi che lo hanno visitato negli anni.</w:t>
      </w:r>
    </w:p>
    <w:p>
      <w:r>
        <w:t>Lassicurato ha pure rilevato di avere richiesto allUAI il tempo necessario per valutare la proposta di decisione con lavvocato, ma non mi è stato concesso.</w:t>
      </w:r>
    </w:p>
    <w:p>
      <w:r>
        <w:t>Infine, egli ha chiesto di essere esonerato dal pagamento delle spese di giudizio, vista le sue precarie condizioni economiche, a seguito delle quali è stato posto al beneficio dellassistenza (doc. I).</w:t>
      </w:r>
    </w:p>
    <w:p>
      <w:r>
        <w:t>in diritto</w:t>
      </w:r>
    </w:p>
    <w:p>
      <w:r>
        <w:t>in ordine</w:t>
      </w:r>
    </w:p>
    <w:p>
      <w:r>
        <w:t>2.1.Il ricorrente ha in primo luogo rilevato che lUfficio AI ha emanato la decisione impugnata (del 9 ottobre 2018) senza attendere il tempo necessario richiesto per poter valutare la proposta di decisione con lavvocato (doc. I).</w:t>
      </w:r>
    </w:p>
    <w:p>
      <w:r>
        <w:t>Nella risposta di causa, lamministrazione ha sottolineato di non avere violato il diritto di essere sentito dellassicurato, in quanto egli ha avuto a disposizione un ampio margine di tempo onde poter compiutamente prendere posizione in seguito al progetto di decisione del 30 agosto 2018, il quale è stato recapitato allassicurato in data 1° settembre 2018. Lamministrazione ha pure aggiunto che nemmeno con il ricorso egli ha prodotto nuova documentazione medica a suffragio di quanto da lui sostenuto (doc. VI).</w:t>
      </w:r>
    </w:p>
    <w:p>
      <w:r>
        <w:t>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 4 cpv. 1 vCost., la cui giurisprudenza si applica anche alla nuova norma, DTF 126 I 16 consid. 2a/aa, 124 V 181 consid. 1a, 375 consid. 3b e sentenze ivi citate).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In concreto, dagli atti risulta che nel progetto di decisione del 30 agosto 2018 - recapitato allassicurato il 1° settembre 2018 (doc. 127) - lamministrazione ha indicato un termine di 30 giorni per presentare osservazioni scritte (doc. 120).</w:t>
      </w:r>
    </w:p>
    <w:p>
      <w:r>
        <w:t>LUfficio AI, con scritto del 28 settembre 2018, ha trasmesso allassicurato copia dellintera pratica AI, rilevando che come indicato sul nostro progetto di decisione, il termine per linoltro di eventuali osservazioni è fissato a 30 giorni da quando ha ritirato la raccomandata. Trascorso il termine di 30 giorni verrà emanata la decisione formale (doc. 125).</w:t>
      </w:r>
    </w:p>
    <w:p>
      <w:r>
        <w:t>Lassicurato non ha dato seguito a tale comunicazione da parte dellamministrazione, motivo per il quale in data 9 ottobre 2018 lUfficio AI ha emesso la decisione impugnata.</w:t>
      </w:r>
    </w:p>
    <w:p>
      <w:r>
        <w:t>Va comunque rammentato che una violazione del diritto di essere sentito è sanabile se l'interessato, come in concreto, riceve la possibilità di esprimersi dinanzi a un'autorità di ricorso che gode del pieno potere di esame sui fatti e sul diritto (DTF 135 I 279 consid. 2.6.1 pag. 285; 124 V 180 consid. 4a pag. 183) e che nel caso di specie, il TCA dispone di un pieno potere di esame (cfr. anche sentenza 8C_923/2011 del 28 giugno 2012, consid. 2.3) e, in applicazione del principio inquisitorio, può assumere le prove che ritiene necessarie per il chiarimento della fattispecie (art. 61 lett. c LPGA).</w:t>
      </w:r>
    </w:p>
    <w:p>
      <w:r>
        <w:t>Il TF ha pure stabilito che è possibile prescindere da un rinvio della causa all'amministrazione se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w:t>
      </w:r>
    </w:p>
    <w:p>
      <w:r>
        <w:t>Il TCA può pertanto entrare nel merito del ricorso.</w:t>
      </w:r>
    </w:p>
    <w:p>
      <w:r>
        <w:t>nel merito</w:t>
      </w:r>
    </w:p>
    <w:p>
      <w:r>
        <w:t>Secondo l'art. 4 cpv. 1 LAI in relazione con gli artt. 7 e 8 LPGA, con invalidità s'intende l'incapacità al guadagno presunta permanente o di rilevante durata, cagionata da un danno alla salute fisica o psichica, conseguente a infermità congenita, malattia o infortunio.</w:t>
      </w:r>
    </w:p>
    <w:p>
      <w:r>
        <w:t>Gli elementi fondamentali dell'invalidità, secondo la surriferita definizione, sono dunque un danno alla salute fisica o psichica conseguente a infermità congenita, malattia o infortunio, e la conseguente incapacità di guadagno.</w:t>
      </w:r>
    </w:p>
    <w:p>
      <w:r>
        <w:t>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all'art. 4 cpv. 1 LAI e 8 cpv. 1 LPGA è di carattere giuridico economico, non medico (DTF 116 V 249 consid. 1b).</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Tuttavia, il diritto alla rendita nasce al più presto dopo 6 mesi dalla data in cui l'assicurato ha rivendicato il diritto alle prestazioni conformemente all'art. 29 cpv. 1 LPGA, ma al più presto a partire dal mese seguente il compimento dei 18 anni (art. 29 cpv. 1 LAI).</w:t>
      </w:r>
    </w:p>
    <w:p>
      <w:r>
        <w:t>In virtù dell'art. 28a cpv. 1 LAI,per valutare l'invalidità di un assicurato che esercita un'attività lucrativa si applica l'articolo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w:t>
      </w:r>
    </w:p>
    <w:p>
      <w:r>
        <w:t>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w:t>
      </w:r>
    </w:p>
    <w:p>
      <w:r>
        <w:t>Nel confronto dei redditi la giurisprudenza - di regola - non tiene conto di fattori estranei all'invalidità, come ad esempio la formazione professionale, le attitudini fisiche e psichiche e l'età dell'assicurato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w:t>
      </w:r>
    </w:p>
    <w:p>
      <w:r>
        <w:t>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sentenzaU 156/05 del 14 luglio 2006, consid. 5).</w:t>
      </w:r>
    </w:p>
    <w:p>
      <w:r>
        <w:t>Se tale condizione non è soddisfatta l'amministrazione non entra nel merito della domanda emanando una decisione in tal senso; se per contro è resa verosimile una rilevante modifica suscettibile di influenzare il diritto alla rendita l'amministrazione è obbligata a entrare nel merito della richiesta (DTF 130 V 64 consid. 3; DTF 117 V 198 consid. 4b; DTF 109 V 108 consid. 2b; SVR 2002 IV Nr. 10; Müller, Die materiellen Voraussetzungen der Rentenrevision in der Invalidenversicherung, Universitätsverlag Freiburg Schweiz, 2003, p. 84-86; Valterio, Droit et pratique de lassurance invalidité, Les prestations, Lausanne 1985, pag. 270).</w:t>
      </w:r>
    </w:p>
    <w:p>
      <w:r>
        <w:t>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VSI 1999 p. 8; Rüedi, Die Verfügungsanpassung als Grundfigur von Invalidenrenten-revisionen, in Schaffauser/Schlauri, Die Revision von Dauerleistungen, Veröffentlichungen des Schweizerischen Instituts für Verwaltungskurse an der Uni St. Gallen, 1999, p. 15; DTF 117 V 198).</w:t>
      </w:r>
    </w:p>
    <w:p>
      <w:r>
        <w:t>2.4.   Per quanto riguarda in particolare l'invalidità cagionata da un danno alla salute psichica, il TFA ha stabilito che esso può portare ad uninvalidità se è di gravità tale da non poter praticamente esigere dall'assicurato di valersi della sua capacità lavorativa sul mercato del lavoro (cfr. DTF 127 V 298 consid. 4c). Al riguardo l'Alta Corte ha sottolineato che:</w:t>
      </w:r>
    </w:p>
    <w:p>
      <w:r>
        <w:t>"()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 (STFA I 166/03 del 30 giugno 2004, consid. 3.2).</w:t>
      </w:r>
    </w:p>
    <w:p>
      <w:r>
        <w:t>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w:t>
      </w:r>
    </w:p>
    <w:p>
      <w:r>
        <w:t>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w:t>
      </w:r>
    </w:p>
    <w:p>
      <w:r>
        <w:t>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 254-257).</w:t>
      </w:r>
    </w:p>
    <w:p>
      <w:r>
        <w:t>Con una pronuncia del 16 dicembre 2004 (I 770/03), pubblicata in DTF 131 V 49, l'Alta Corte,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w:t>
      </w:r>
    </w:p>
    <w:p>
      <w:r>
        <w:t>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w:t>
      </w:r>
    </w:p>
    <w:p>
      <w:r>
        <w:t>Questa giurisprudenza è poi stata progressivamente estesa ad altre affezioni (cfr. la DTF 137 V 64 sullipersonnia, nella quale lAlta Corte si è così espressa:</w:t>
      </w:r>
    </w:p>
    <w:p>
      <w:r>
        <w:t>"()</w:t>
      </w:r>
    </w:p>
    <w:p>
      <w:r>
        <w:t>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w:t>
      </w:r>
    </w:p>
    <w:p>
      <w:r>
        <w:t>In una sentenza 9C_492/2014 del 3 giugno 2015 pubblicata in DTF 141 V 281 il Tribunale federale ha modificato la propria giurisprudenza relativaalle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lapresunzionesecondo cui questi disturbi possono generalmente essere sormontati con uno sforzo di volontà ragionevolmente esigibile è stata abbandonata.</w:t>
      </w:r>
    </w:p>
    <w:p>
      <w:r>
        <w:t>Infine, in due sentenze del 30 novembre 2017 (DTF 143 V 409 e 143 V 418),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medio-gravi(cfr. comunicato stampa del 14 dicembre 2017, in: www.bger.ch).</w:t>
      </w:r>
    </w:p>
    <w:p>
      <w:r>
        <w:t>Alla luce di questa nuova prassi, dunque, per tutte le malattie psichiche, comprese le depressioni da lievi fino a medio-gravi, occorrerà applicare una procedura probatoria fondata su indicatori. Ciò comporta, in particolare, la modifica della precedente giurisprudenza del TF per la quale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uninabilità lavorativa invalidante.</w:t>
      </w:r>
    </w:p>
    <w:p>
      <w:r>
        <w:t>2.5.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alvalore probatorio delle perizie SAM, sotto il profilo dell'indipendenza, dell'equità del processo e della parità delle armi vedi laDTF 136 V 376.</w:t>
      </w:r>
    </w:p>
    <w:p>
      <w:r>
        <w:t>NellaDTF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infine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Nella fattispecie in esame, lUfficio AI haincaricato il __________ dieseguire una perizia pluridisciplinare.</w:t>
      </w:r>
    </w:p>
    <w:p>
      <w:r>
        <w:t>Dal referto peritale del 26 luglio 2018 risulta che i periti hanno fatto capo a consultazioni specialistiche esterne: reumatologica (dr. __________), neurologica (dr. __________) e psichiatrica (dr. __________).</w:t>
      </w:r>
    </w:p>
    <w:p>
      <w:r>
        <w:t>Sulla base delle risultanze dei singoli consulti e degli accertamenti eseguiti presso il citato centro daccertamento, i periti del __________ hanno posto quali diagnosi con ripercussioni sulla capacità lavorativa quelle di 1. Fibromialgia; 2. Sindrome dolorosa panvertebrale cronica con/su: osteocondrosi Modic I L5-S1; pregressa ernia discale recessuale a sin, 2015, attualmente completamente regredita; minime alterazioni degenerative cervicali senza neurocompressione, senza componente radicolare irritativa o deficitaria; equilibrio sagittale nella norma, nonostante angolo di incidenza pelvica ridotto (geneticamente determinato), mentre quali diagnosi senza influenza sulla capacità lavorativa hanno indicato quelle di pregressa meniscectomia al ginocchi ds per via artroscopica, ottobre 2012; sospetta lieve neuropatia sensitiva del nervo ulnare ds; cefalee di tipo misto, in parte emicraniche ed in parte sensitive (cfr. doc. 115, pag. 30).</w:t>
      </w:r>
    </w:p>
    <w:p>
      <w:r>
        <w:t>Dopo unesauriente discussione tra tutti i medici coinvolti, gli specialisti del __________ hanno considerato lassicurato globalmente inabile al lavoro al 10% (riduzione del rendimento) quale meccanico e ancora abile al lavoro nella misura del 100% in attività adatte, da leggere a medio-pesanti, rispettose delle sue limitazioni funzionali (cfr. doc. 115, pag. 31).</w:t>
      </w:r>
    </w:p>
    <w:p>
      <w:r>
        <w:t>Tali conclusioni sono poi state condivise e fatte proprie dal dr. __________ del SMR, con rapporto finale del 30 luglio 2018 (doc. 116).</w:t>
      </w:r>
    </w:p>
    <w:p>
      <w:r>
        <w:t>Il TCA non ha motivo per distanziarsi dalle conclusioni peritali degli specialisti del __________, poi fatte proprie dal SMR, da considerare dettagliate, approfondite e quindi rispecchianti i parametri giurisprudenziali ricordati al considerando che precede.</w:t>
      </w:r>
    </w:p>
    <w:p>
      <w:r>
        <w:t>Del resto, questo Tribunale rileva che lassicurato non ha prodotto, in sede ricorsuale, dei referti medico-specialistici in grado di smentire quanto valutato dagli specialisti del __________, limitandosi solo a trasmettere nuovamente la documentazione medica relativa ai diversi consulti da egli effettuati nel corso degli anni precedenti allo svolgimento dellesame peritale e, quindi, già presi in considerazione e oggetto di disamina da parte degli stessi specialisti del __________.</w:t>
      </w:r>
    </w:p>
    <w:p>
      <w:r>
        <w:t>Basandosi unicamente su queste già note refertazioni, lassicurato ha quindi considerato non condivisibili le conclusioni alle quali è giunto il perito reumatologo dr. __________ a proposito di una sua piena capacità lavorativa quale meccanico, in quanto ciò, a suo modo di vedere, sarebbe in contraddizione con quanto invece valutato dai neurochirurghi che negli anni hanno avuto modo di visitarlo (doc. I e allegati).</w:t>
      </w:r>
    </w:p>
    <w:p>
      <w:r>
        <w:t>Innanzitutto, questo Tribunale concorda con lamministrazione nel ritenere che lassicurato abbia espresso un dissenso puramente soggettivo, ma non supportato da adeguata documentazione medico-specialistica in grado di rimettere in discussione quanto apprezzato in sede peritale dagli specialisti del __________ e, in particolare, dal dr. __________.</w:t>
      </w:r>
    </w:p>
    <w:p>
      <w:r>
        <w:t>Allassicurato non può essere, pertanto, riconosciuto il diritto a prestazioni.</w:t>
      </w:r>
    </w:p>
    <w:p>
      <w:r>
        <w:t>La decisione impugnata va, quindi, confermata e il ricorso respinto.</w:t>
      </w:r>
    </w:p>
    <w:p>
      <w:r>
        <w:t>L'entità delle spese è determinata fra Fr. 200.- e Fr. 1'000.- in funzione delle spese di procedura e senza riguardo al valore litigioso (DTF 133 V 402; STF 9C_156/2009 del 7 aprile 2009; STF 8C_393/2008 del 24 settembre 2008).</w:t>
      </w:r>
    </w:p>
    <w:p>
      <w:r>
        <w:t>Visto l'esito della vertenza, le spese per complessivi Fr. 500.-vanno poste a carico dell'insorgente.</w:t>
      </w:r>
    </w:p>
    <w:p>
      <w:r>
        <w:t>Per questi motivi</w:t>
      </w:r>
    </w:p>
    <w:p>
      <w:r>
        <w:t>dichiara e pronuncia</w:t>
      </w:r>
    </w:p>
    <w:p>
      <w:r>
        <w:t>3.   Le spese, per fr. 500.--, sono poste a carico del ricorrente.</w:t>
      </w:r>
    </w:p>
    <w:p>
      <w:r>
        <w:t>Per il Tribunale cantonale delle assicurazioni</w:t>
      </w:r>
    </w:p>
    <w:p>
      <w:r>
        <w:t>Il presidente                                                          Il segretario</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