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32.2018.149 vom 2. August 2018</w:t>
      </w:r>
    </w:p>
    <w:p>
      <w:r>
        <w:t>TI Tribunale d'appello, 2018-08-02, IT</w:t>
      </w:r>
    </w:p>
    <w:p>
      <w:r>
        <w:rPr>
          <w:b/>
        </w:rPr>
        <w:t xml:space="preserve">Quelle: </w:t>
      </w:r>
      <w:r>
        <w:t>https://mcp.opencaselaw.ch/entscheid/ti_gerichte_32.2018.149</w:t>
      </w:r>
    </w:p>
    <w:p>
      <w:r>
        <w:t>FR: TI_GERICHTE 32.2018.149 du 2 août 2018</w:t>
      </w:r>
    </w:p>
    <w:p>
      <w:r>
        <w:t>IT: TI_GERICHTE 32.2018.149 del 2 agosto 2018</w:t>
      </w:r>
    </w:p>
    <w:p>
      <w:pPr>
        <w:pStyle w:val="Heading2"/>
      </w:pPr>
      <w:r>
        <w:t>Regeste</w:t>
      </w:r>
    </w:p>
    <w:p>
      <w:r>
        <w:t>Corretta decisione con la quale UAI ha negato all'assicurata,in applicazione del metodo misto di calcolo,il diritto ad una rendita,in mancanza di un sufficiente grado di invalidità pensionabile</w:t>
      </w:r>
    </w:p>
    <w:p>
      <w:pPr>
        <w:pStyle w:val="Heading2"/>
      </w:pPr>
      <w:r>
        <w:t>Erwägungen</w:t>
      </w:r>
    </w:p>
    <w:p>
      <w:r>
        <w:rPr>
          <w:b/>
        </w:rPr>
        <w:t>E. 13</w:t>
      </w:r>
    </w:p>
    <w:p>
      <w:r>
        <w:t>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 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L’Alta Corte ha perciò concluso che vi è una violazione dell’art.</w:t>
      </w:r>
    </w:p>
    <w:p>
      <w:r>
        <w:rPr>
          <w:b/>
        </w:rPr>
        <w:t>E. 14</w:t>
      </w:r>
    </w:p>
    <w:p>
      <w:r>
        <w:t>combinato con l’art. 8 CEDU allorquando le scelte (rientranti nella sfera di protezione dell’art. 8 CEDU) prese dalla persona assicurata costituiscono la sola causa del cambiamento di status e a seguito dell’applicazione del nuovo metodo di calcolo del grado d’invalidità ( metodo misto ) risulta la soppressione della rendita in via di revisione rispettivamente la limitazione temporale del diritto alla rendita riconosciuta con effetto retroattivo.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Tribunale federale ha pertanto concluso che in questo caso la soppressione del diritto ad una rendita non è conforme alla CEDU. Per la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 L’interpretazione data dal Tribunale federale nella DTF 143 I 50 (STF 9F_8/2016 del 20 dicembre 2016) è stata criticata dalla dottrina ( u. Kieser , Gemischte Methode: ein Blick auf die bisherige Rechtsprechung, in: HAVE 2016 pag. 471 seg. (474); A. Mengis , IV Mutloser Entscheid des Bundesgerichts, in: Plädoyer 1/17 pag. 12 seg.). 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 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 Come detto, il 1° gennaio 2018 sono entrati in vigore gli articoli 27 e 27 bis cpv. 2-4 OAI nel loro nuovo tenore (cfr. RU N. 107 del 19 dicembre 2017, pagg. 7581-7582).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2.4.   Al fine di determinare il metodo di calcolo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Meyer-Blaser , Rechtsprechung des Bundesgerichts zum IVG, 2014, ad art. 5, pagg. 54-58 e 61-62 e Blanc ,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 , op. cit., pag. 288; Blanc , op. cit., pag. 190-191 ). 2.5.   Nella fattispecie in esame, l’amministrazione, in applicazione del metodo misto, ha considerato l’assicurata salariata al 60% e casalinga al 40%. Il TCA non ha motivo per scostarsi da tale ripartizione, rimasta, del resto, incontestata in sede ricorsuale. 2.6. Per quanto concerne l’aspetto medico, il medico del SMR dr.ssa __________, nel rapporto finale del 13 marzo 2018, ha indicato che l’interessata è stata oggetto per __________ (assicurazione collettiva di malattia privata) di valutazione fiduciaria del 19 febbraio 2018, eseguita dal dr. __________, spec. FMH in malattie reumatiche, fisiatria e riabilitazione, le cui conclusioni sono condivise e fatte proprie dal medico dell’amministrazione (doc. 39). Dopo avere indicato quali diagnosi con ripercussioni sulla capacità lavorativa quelle di “lombalgia cronica, attualmente con sindrome lombovertebrale contenuta in/con esiti da spondilodesi posteriore (in L3/4 con cage intersomatico) tra L3 e L5 con decompressione e foraminotomia di L4 a sinistra (28.04.2017) per lombosciatalgia a sn con anamnesticamente componente claudicante in/con alterazioni degenerative discali e osteoarticolari; allentamento delle viti in L3; parziale consolidamento di entrambi i segmenti; turbe statiche del rachide (scoliosi toracolombare, sinistroconvessa e con arco breve in sede lombare, parzialmente decompensata)”, mentre quali diagnosi senza influenza sulla capacità lavorativa quelle di “artrosi intracarpale alla mano sinistra (compartimento navicolare-trapezium-trapezoideum), attualmente oligosintomatica; disturbi statici dei piedi (tendenzialmente piatti con alluce valgo a sin) in presenza di alterazioni degenerative; probabile irritazione meccanica del nervo ulnare al gomito sin con persistenti parestesie nelle dita IV e V (in fase di accertamenti); esiti di frattura e osteosintesi della tibia e del perone sin (circa 2010, AMO avvenuta) senza sequele cliniche; sovrappeso (164 cm/94 kg)”, il medico del SMR ha ritenuto l’assicurata totalmente inabile al lavoro a partire dal 26 aprile 2017 nella precedente attività di impiegata di commercio, ma ancora abile al lavoro nella misura del 100% in attività adatte, rispettose delle sue limitazioni funzionali, a partire dal 19 febbraio 2018 (data della valutazione fiduciaria del dr. __________) (doc. 39). La dr.ssa __________ del SMR ha indicato che il dr. __________ ha ritenuto esigibile in misura totale anche un’eventuale ripresa di lavori in ufficio, a condizione però che vengano effettuati degli accorgimenti del posto di lavoro, come lo spostamento elettrico dell’altezza del piano di lavoro, una sedia ergonomica rispettivamente un piccolo appoggio quando lavora in piedi tipo “Stehhilfe” preferibilmente tramite un nuovo coinvolgimento da parte dell’Ufficio AI (doc. 39). In sede di osservazioni contro il progetto di rifiuto di prestazioni, l’allora patrocinatore dell’assicurata ha contestato le risultanze mediche del rapporto del SMR, a suo avviso incomplete e inattendibili non avendo tenuto conto dell’insieme delle patologie che la affliggono, in particolare alle braccia e al polso. Inoltre, l’allora rappresentante dell’interessata ha pure rilevato come l’Ufficio AI non abbia tenuto conto delle conseguenze dell’infortunio subito dall’assicurata in data</w:t>
      </w:r>
    </w:p>
    <w:p>
      <w:r>
        <w:rPr>
          <w:b/>
        </w:rPr>
        <w:t>E. 17</w:t>
      </w:r>
    </w:p>
    <w:p>
      <w:r>
        <w:t>maggio 2018 al piede, con frattura del cuboide (doc. 60). Preso atto di queste critiche, dopo avere richiamato gli atti relativi all’infortunio del 17 maggio 2018, l’amministrazione ha rilevato che quest’ultimo ha comportato una incapacità lavorativa del 100% dal 17 maggio 2018, con ripresa di una totale capacità lavorativa a partire dal 23 luglio 2018 (doc. 64). Nella decisione impugnata, l’amministrazione ha ribadito il rifiuto di prestazioni, evidenziando che “l’infortunio tutelato dalla __________ ha comportato un’inabilità al lavoro dal 17 maggio 2018 al 22 luglio 2018, del tutto ininfluente al fine di un’eventuale prestazione AI” (doc. A1). 2.7.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2.8. Questo Tribunale, chiamato a verificare se lo stato di salute della ricorrente è stato accuratamente vagliato dall’amministrazione prima dell’emissione della decisione impugnata, non ha motivo per scostarsi dal rapporto finale del 13 marzo 2018 della dr.ssa __________ del SMR. Tale valutazione è da considerare dettagliata, approfondita e quindi rispecchiante i parametri giurisprudenziali ricordati al considerando 2.7. Il TCA constata, infatti, che il medico del SMR ha tenuto conto di tutte le problematiche lamentate dall'assicurata (ivi compresi i disturbi alle braccia, al polso e al piede citati nel ricorso), ponendo le diagnosi concernenti l’insieme dei disturbi dell’interessata, valutando le sue limitazioni funzionali e le relative ripercussioni sulla capacità lavorativa al termine di un’analisi approfondita di tutti i referti medici dei curanti, nonché della valutazione fiduciaria eseguita per conto dell’assicuratore malattia dal reumatologo dr. __________. Questo Tribunale ritiene tale modo di procedere corretto e non ha motivo alcuno per rimettere in discussione l’operato del medico del SMR, conforme agli articoli 59bis cpv. 2 LAI in relazione con l’art. 49 cpv. 1 OAI (cfr. STF 9C_404/2018 del 22 agosto 2018; DTF 142 V 58 consid. 5.1; 135 V 465 consid. 4.4.). Giova qui infatti ricordare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 vedi DTF 136 V 376 consid. 4.1; sentenze 9C_1001/2012 del 29 maggio 2013 ; 9C_524/2010 del 27 ottobre 2010; 9C_9/2010 del 29 settembre 2010, 9C_323/2009 del 14 luglio 2009 consid. 4.2, in SVR 2009 IV n. 56 pag. 174, con riferimenti). L’assicurata, del resto, ha contestato in maniera generica la valutazione della dr.ssa __________ (e del dr. __________), ritenendo invalidanti le diagnosi poste invece come senza influsso sulla capacità lavorativa nel rapporto finale del SMR, senza tuttavia produrre documentazione medico-specialistica atta, per un verso, a perlomeno sollevare dubbi circa la fedefacenza del referto peritale allestito dal dr. __________ rispettivamente del rapporto finale allestito dal medico del SMR (dr.ssa __________), e, per altro verso, a indurre questo Tribunale a disporre ulteriori accertamenti medici specialistici. Diversamente da quanto valutato dall’Alta Corte nella STF 8C_839/2016 del 12 aprile 2017, pubblicata in SVR 1/2018 IV nr. 4 - nella quale il TF ha reputato che il rapporto del SMR non potesse essere considerato esaustivo, non essendosi espresso su tutti gli aspetti rilevanti per la decisione - il TCA non vede nel caso concreto alcun motivo che possa impedire di fondare il proprio giudizio sulle risultanze mediche del SMR, la cui affidabilità e concludenza non è stata oggettivamente messa in dubbio da refertazioni specialistiche in grado di rimetterle in discussione (cfr. STF 9C_404/2018 del 22 agosto 2018). Al contrario, l’assicurata si è limitata nel proprio atto ricorsuale a chiedere che venga ordinata una perizia medica pluridisciplinare, senza giustificare tale domanda con il supporto di opportuna documentazione medica.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Questo Tribunale rileva, inoltre, a proposito della frattura del cuboide fatta valere dall’assicurata, a seguito di un infortunio regolarmente preso a carico dall’assicuratore infortuni, che la stessa è stata vagliata dall’amministrazione e giudicata ininfluente al fine di un’eventuale prestazione AI, avendo comportato un’inabilità lavorativa unicamente dal 17 maggio 2018 al 22 luglio 2018 (cfr. doc. A1). Pertanto, alla luce delle risultanze di cui sopra, questo Tribunale ritiene la fattispecie sufficientemente chiarita, per cui non appare necessario procedere ad altri accertamenti medici. Alla luce di tutto quanto sopra esposto questo Tribunale deve concludere che quanto accertato dal medico del SMR in merito alla capacità lavorativa dell'assicurata va tutelato. 2.9.   Confermata la ripartizione 60% per l’attività salariata e 40% per l’attività di casalinga (consid. 2.5.) e stabilite dal profilo medico le incapacità lavorative dell’insorgente, nella professione abituale e in attività adatte (consid. 2.6.), va ora esaminato se l’interessata ha diritto ad una rendita. Il 1° gennaio 2018 è entrata in vigore una modifica degli art. 27 OAI e 27bis OAI (cfr. consid. 2.2). Ai sensi del nuovo art. 27 cpv. 1 OAI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in vigore dal 1° gennaio 2018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 7 cpv. 2 LAI a cui è stata rifiutata una rendita prima dell’entrata in vigore della modifica del 1° dicembre 2017 perché il grado d’invalidità era insufficiente, viene esaminata una nuova richiesta, se il calcolo del grado d’invalidità secondo l’art. 27bis cpv.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 3; DTF 130 V 160 consid. 5.1; DTF 129 V 4 consid. 1.2, DTF 127 V 467 consid. 1, DTF 126 V 166 consid. 4b).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concreto la richiesta di prestazioni è del 22 ottobre 2017. Occorre pertanto applicare le nuove norme in vigore dal 1° gennaio 2018, come correttamente ritenuto dall’UAI. 2.10.   Grado d’invalidità per la parte lucrativa Per determinare il reddito ipotetico conseguibile dalla persona assicurata senza il danno alla salute (reddito da valido), occorre stabilire quanto la stessa, nel momento determinante (corrispondente all'inizio dell'eventuale diritto alla rendita, qui il 2018),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L’amministrazione ha calcolato il reddito da valido dell’interessata basandosi sul salario indicato dal precedente datore di lavoro, pari, per un’attività lavorativa al 60%, a fr. 54'600 (cfr. doc. 16), che al 100% (alla luce delle nuove norme in vigore dal 2018, cfr. consid. 2.8.) danno un importo di fr. 91’000. Questi dati – peraltro rimasti incontestati – possono essere fatti propri da questo Tribunale. 2.11.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Pertanto, u tilizzando i dati salariali risultanti dall ' inchiesta svizzera sulla struttura dei salari 2016 , edita dall'Ufficio federale di statistica, più precisamente dalla tabella TA1 2016_tirage_skill_level - Rami economici (NOGA08) (denominata Salario mensile lordo [valore centrale] secondo il ramo economico, il livello di competenze e il sesso – Settore privato; DTF 142 V 178) , il salario lordo mediamente percepito in quell'anno dalle donne per un ' attività semplice di tipo fisico o manuale (ossia il livello 1 di competenze; STF 9C_632/2015 ) per 40 ore settimanali corrisponde ad un importo di fr. 52'356.- (fr. 4 '363 .- x 12 mesi). Riportando tale dato su 41.7 ore di durata media lavorativa settimanale, il dato statistico corrisponde a fr. 54’581.10 per un impiego a tempo pieno.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l’Ufficio AI ha proceduto ad una riduzione del 15% per attività leggere e per svantaggi salariali derivanti da contingenze particolari (doc. A1). L’allora patrocinatore dell’assicurata, con il ricorso, ha criticato l’entità di tale riduzione percentuale, chiedendo che venga innalzata al 20% (cfr. doc. I). 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l'Istituto convenuto abbia tenuto debitamente conto degli effetti legati al danno alla salute di cui è affetta l'assicurata. In particolare, va sottolineato che i motivi addotti dal legale - l’età (58 anni) e la grave incapacità lavorativa – non sono tali da giustificare una riduzione percentuale maggiore rispetto a quella applicata dall’amministrazione. Il Tribunale federale ha più volte negato la rilevanza del fattore "età" in relazione a lavoratori ausiliari, siccome essi “… 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8C_223/2007 vom 2. November 2007, E. 6.2.2)” (STF 8C_319/2007 del 6 maggio 2008 consid. 8.3; in questo senso, si vedano pure la STF 8C_712/2012 del 30 novembre 2012 consid. 4.2.3, la STF 8C_361/2011 del 20 luglio 2011, la STF 8C_373/2008 del 28 agosto 2008 consid. 5.2.2.2 e la STF 8C_292/2009 del 10 giugno 2009 consid. 5.2.1). Quanto al fatto che l’assicurata possa svolgere solo attività leggere, il TCA constata che tale circostanza è già stata debitamente considerata nella determinazione della deduzione percentuale applicata dall’amministrazione. Ne segue che raffrontando il reddito da valida al 100% di fr. 91’000 con quello da invalida di fr. 54’581.10 , ridotto del 15% (fattori di riduzione) a fr. 46'393.95, si ottiene un grado d’invalidità del 49.02%. 2.12.   Per quanto concerne 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 Nel caso di specie, l’amministrazione ha stabilito che l’assicurata non presenta limitazione alcuna in ambito domestico a partire dal mese di giugno 2017, conformemente a quanto indicato nel rapporto finale del SMR (doc. A1). Il TCA non ha motivo per scostarsi da tale valutazione, la quale, del resto, è stata solo genericamente contestata in sede ricorsuale dall’allora patrocinatore dell’interessata, senza tuttavia produrre documentazione medica a sostegno delle proprie critiche. Non può quindi essere condivisa la richiesta volta ad ottenere ulteriori accertamenti in ambito domestico (cfr. STF 9C_266/2019 del 27 maggio 2019). 2.13.   In queste condizioni, il grado d’invalidità globale è del 29.41% (0.60 x 49.02% + 0.40 x 0%) arrotondato al 29%. Il ricorso va quindi respinto e la decisione impugnata confermata. 2.14.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500.--andrebbero poste a carico dell’assicurata, la quale ha chiesto di essere posta al beneficio dell’assistenza giudiziaria da intendersi, dopo la rinuncia al mandato da parte del precedente patrocinatore (cfr. consid. 1.5), unicamente quale esonero dal pagamento delle spese di giustizia.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della Legge sull’assistenza giudiziaria e sul patrocinio d’ufficio [LAG], nel tenore in vigore dal 1° gennaio 2011.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13 della Legge sul patrocinio d’ufficio e sull’assistenza giudiziaria del 3 giugno 2002 (Lag); Müller, Grundrechte in der Schweiz, 1999, p. 544). Nel caso concreto questo Tribunale constata che nonostante in data 26 ottobre 2018 l’allora patrocinatore dell’assicurata avesse comunicato che “a giorni la mia cliente dovrebbe ricevere dal Comune i documenti per l’AG vidimati” (doc. XI) e malgrado una esplicita richiesta rivoltale direttamente dal TCA con scritto raccomandato del 30 luglio 2019 - ritirato in data 31 luglio 2019 (cfr. consid. 1.6.) - con la quale è stata sollecitata ad inviare entro 5 giorni il certificato municipale per l’ammissione all’assistenza giudiziaria, ricordando che “in difetto del quale il Tribunale si pronuncerà nel merito sulla base degli atti in suo possesso” (cfr. doc. XIV), ad oggi l’insorgente non ha prodotto alcunché, di modo che non è possibile stabilire la sua attuale situazione finanziaria. In queste condizioni la domanda di assistenza giudiziaria limitatamente all’esonero dal pagamento delle spese di giustizia deve essere respinta.</w:t>
      </w:r>
    </w:p>
    <w:p>
      <w:r>
        <w:rPr>
          <w:b/>
        </w:rPr>
        <w:t>E. 47</w:t>
      </w:r>
    </w:p>
    <w:p>
      <w:r>
        <w:t>n. 63, Gygi, Bundesverwaltungsrechtspflege, 2° ed., pag. 274, si veda pure DTF 122 II consid. 469 consid. 41; 122 III 223 consid. 3; 119 V 344 consid. 3c con riferimenti). Un tale modo di procedere non lede il diritto di essere sentito conformemente all'art.29 cpv. 2 Cost. (DTF 124 V 94 consid. 4b, 122 V 162 consid. 1d, 119 V 344 consid.3c con riferimenti).</w:t>
      </w:r>
    </w:p>
    <w:p>
      <w:r>
        <w:t>Pertanto, alla luce delle risultanze di cui sopra, questo Tribunale ritiene la fattispecie sufficientemente chiarita, per cui non appare necessario procedere ad altri accertamenti medici.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Riportando tale dato su 41.7 ore di durata media lavorativa settimanale, il dato statistico corrisponde a fr. 54581.10 per un impiego a tempo pieno.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Visto lesito della vertenza, le spese per complessivi fr. 500.--andrebbero poste a carico dellassicurata, la quale ha chiesto di essere posta al beneficio dellassistenza giudiziaria da intendersi, dopo la rinuncia al mandato da parte del precedente patrocinatore (cfr. consid. 1.5), unicamente quale esonero dal pagamento delle spese di giustizia.</w:t>
      </w:r>
    </w:p>
    <w:p>
      <w:r>
        <w:t>In queste condizioni la domanda di assistenza giudiziaria limitatamente allesonero dal pagamento delle spese di giustizia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