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32.2018.123 vom 5. Juni 2018</w:t>
      </w:r>
    </w:p>
    <w:p>
      <w:r>
        <w:t>TI Tribunale d'appello, 2018-06-05, IT</w:t>
      </w:r>
    </w:p>
    <w:p>
      <w:r>
        <w:rPr>
          <w:b/>
        </w:rPr>
        <w:t xml:space="preserve">Quelle: </w:t>
      </w:r>
      <w:r>
        <w:t>https://mcp.opencaselaw.ch/entscheid/ti_gerichte_32.2018.123</w:t>
      </w:r>
    </w:p>
    <w:p>
      <w:r>
        <w:t>FR: TI_GERICHTE 32.2018.123 du 5 juin 2018</w:t>
      </w:r>
    </w:p>
    <w:p>
      <w:r>
        <w:t>IT: TI_GERICHTE 32.2018.123 del 5 giugno 2018</w:t>
      </w:r>
    </w:p>
    <w:p>
      <w:pPr>
        <w:pStyle w:val="Heading2"/>
      </w:pPr>
      <w:r>
        <w:t>Erwägungen</w:t>
      </w:r>
    </w:p>
    <w:p>
      <w:r>
        <w:rPr>
          <w:b/>
        </w:rPr>
        <w:t>E. 2</w:t>
      </w:r>
    </w:p>
    <w:p>
      <w:r>
        <w:t>e 3 OAI.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w:t>
      </w:r>
    </w:p>
    <w:p>
      <w:r>
        <w:rPr>
          <w:b/>
        </w:rPr>
        <w:t>E. 2.12</w:t>
      </w:r>
    </w:p>
    <w:p>
      <w:r>
        <w:t>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In concreto questa Corte non ha motivo di scostarsi dal reddito da valida di fr. 50'962.-, fissato mediante aggiornamento dell’importo di fr. 48'801.- nel 2010 risultante dalla già citata STCA 32.2010.130, cresciuta incontestata in giudicato, (cfr. consid. 1), aggiornato al 2016. Tanto più che neppure il patrocinatore della ricorrente sostiene il contrario. 2.13.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3</w:t>
      </w:r>
    </w:p>
    <w:p>
      <w:r>
        <w:t>aprile 2009 consid. 2.3.).</w:t>
      </w:r>
    </w:p>
    <w:p>
      <w:r>
        <w:t>Stante quanto precedequesto TCA non condivide né le critiche mosse dal rappresentante del ricorrente all'operato dell'Istituto assicuratore per aver operato una riduzione sociale del 15% néla decurtazione massima del 25% rivendicata dal patrocinatore dell'insorgente.</w:t>
      </w:r>
    </w:p>
    <w:p>
      <w:r>
        <w:t>Infine, la circolare sui provvedimenti dintegrazione di ordine professionale (CPIP) prevede:</w:t>
      </w:r>
    </w:p>
    <w:p>
      <w:r>
        <w:t>"4010 Le seguenti condizioni devono essere adempiute cumulativa-mente:</w:t>
      </w:r>
    </w:p>
    <w:p>
      <w:r>
        <w:t>-   a causa di uninvalidità imminente o esistente la persona assicurata non è più in grado di esercitare la precedente professione o di compiere le mansioni consuete, lucrative o no;</w:t>
      </w:r>
    </w:p>
    <w:p>
      <w:r>
        <w:t>-   lassicurato deve essere idoneo allintegrazione, ossia essere oggettivamente e soggettivamente in grado di sottoporsi con successo ai provvedimenti di formazione professionale;</w:t>
      </w:r>
    </w:p>
    <w:p>
      <w:r>
        <w:t>-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w:t>
      </w:r>
    </w:p>
    <w:p>
      <w:r>
        <w:t>()</w:t>
      </w:r>
    </w:p>
    <w:p>
      <w:r>
        <w:t>4013 Se un assicurato è sufficientemente integrato o se può esserle procurato un posto di lavoro adeguato ed esigibile senza una formazione supplementare, una riformazione professionale non è necessaria.</w:t>
      </w:r>
    </w:p>
    <w:p>
      <w:r>
        <w:t>Infine, con STF 9C_734/2010 del 18 maggio 2011 il TF, in un caso in cui unassicurata invalida al 40% (percentuale calcolata secondo il metodo misto) aveva chiesto di essere messa a beneficio di provvedimenti integrativi di natura professionale, ha affermato che:</w:t>
      </w:r>
    </w:p>
    <w:p>
      <w:r>
        <w:t>Visto l'esito della vertenza, le spese per complessivi fr. 500.-vanno poste a carico dell'insorgente.</w:t>
      </w:r>
    </w:p>
    <w:p>
      <w:r>
        <w:rPr>
          <w:b/>
        </w:rPr>
        <w:t>E. 5</w:t>
      </w:r>
    </w:p>
    <w:p>
      <w:r>
        <w:t>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Stante quanto precede questo TCA non condivide né le critiche mosse dal rappresentante del ricorrente all'operato dell'Istituto assicuratore per aver operato una riduzione sociale del 15% né la decurtazione massima del 25% rivendicata dal patrocinatore dell'insorgente. Applicando la riduzione del 15%, il reddito da invalida nel 2016 si attesta a fr. 32'438.96 (fr. 38'163.95 ridotto del 15% ovvero d fr. 5'724.52). 2.15.   Confrontando ora i redditi da invalida di fr. 32'438.96 (riduzione del 15%) (cfr. consid. 2.14.1) con il relativo reddito da valido di fr. 50'962.- (cfr. consid. 2.12), si ottiene un grado d’invalidità del 36% ([50'962 - 32'438.96] x 100 : 50'962 = 36.35% arrotondato al 36% secondo la giurisprudenza di cui alla DTF 130 V 121). È dunque a ragione che l’UAI non ha riconosciuto il diritto ad una rendita non raggiungendo, in ogni caso, il grado d’invalidità la soglia pensionabile del 40%. La decisione dell’UAI che nega il diritto ad una rendita d’invalidità va di conseguenza tutelata. 2.16.   Essendo il grado di invalidità dell'insorgente superiore al 20%, RI 1 potrebbe teoricamente avere diritto ad una riformazione professionale. 2.16.1.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2.16.2.   Nel caso di specie, va evidenziato che il ricorrente, pur avendo raggiunto il grado minimo d’invalidità del 20% richiesto (cfr. considerando 2.15), senza dover intraprendere una specifica riqualifica professionale, può, per i motivi già espressi al considerando 2.8 , svolgere attività semplici e ripetitive dal profilo fisico leggero (cfr. anche sentenza 32.2011.143 del 21 novembre 2011; cfr. per analogia sentenze 9C_673/2009 del 14 aprile 2010 consid. 6.2, 9C_753/2008 del 26 ottobre 2009 consid. 3.5 e U 463/00 del 28 ottobre 2003 consid. 3.3). Come già indicato al considerando 2.8, va qui ribadito che all’assicurata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alla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2.17.   In simili circostanze, visto tutto quanto precede, il ricorso va respinto e la decisione impugnata confermata. 2.18.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