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32.2017.79 vom 5. April 2017</w:t>
      </w:r>
    </w:p>
    <w:p>
      <w:r>
        <w:t>TI Tribunale d'appello, 2017-04-05, IT</w:t>
      </w:r>
    </w:p>
    <w:p>
      <w:r>
        <w:rPr>
          <w:b/>
        </w:rPr>
        <w:t xml:space="preserve">Quelle: </w:t>
      </w:r>
      <w:r>
        <w:t>https://mcp.opencaselaw.ch/entscheid/ti_gerichte_32.2017.79</w:t>
      </w:r>
    </w:p>
    <w:p>
      <w:r>
        <w:t>FR: TI_GERICHTE 32.2017.79 du 5 avril 2017</w:t>
      </w:r>
    </w:p>
    <w:p>
      <w:r>
        <w:t>IT: TI_GERICHTE 32.2017.79 del 5 aprile 2017</w:t>
      </w:r>
    </w:p>
    <w:p>
      <w:pPr>
        <w:pStyle w:val="Heading2"/>
      </w:pPr>
      <w:r>
        <w:t>Regeste</w:t>
      </w:r>
    </w:p>
    <w:p>
      <w:r>
        <w:t>Rendita d'invalidità temporanea. Cambiamento della valutazione medico-teorica in sede di risposta, avvallato dal TCA. Rinvio degli atti all'Ufficio AI per valutare l'esegibilità in attività adeguate e per definire il grado d'invalidità</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presente fattispecie, l’Ufficio AI ha ordinato una perizia psichiatrica presso il CPAS. Dal referto datato 25 marzo 2015 (doc. 28 incarto AI) risulta che il dr. __________, fondandosi sulla documentazione medica presente agli atti, dopo aver proceduto ad una visita, ha posto le diagnosi di disturbo da deficit dell’attenzione di iperattività nell’adulto (ICD 10: F 90.2) e di episodio depressivo maggiore di grado medio (ICD 10: F.32.11) attualmente in remissione. Dopo discussione delle risultanze, il perito ha rilevato che “… l’assicurato, a partire verosimilmente da gennaio 2013, in conseguenza di un episodio depressivo di media gravità che è perdurato almeno fino al gennaio 2014 e che si è sovrapposto ad un disturbo da deficit dell’attenzione e iperattività già presenti dall’infanzia, presentasse una IL del 100% in ogni attività” (pag. 430 incarto AI). Nell’abituale attività (trattasi di barman, addetto alla sicurezza presso il __________ di __________, attività svolta dal 2005 al 2011 e ripresa nel gennaio 2014, con un maggiore impegno lavorativo dal marzo 2015; cfr. anamnesi punto B.1 pag. 6 della perizia), il perito ha ritenuto che “… a partire dal febbraio 2014 l’assicurato ha presentato un graduale miglioramento della capacità lavorativa con un funzionamento stimabile in un 50% almeno fino al febbraio 2015. Dal marzo 2015 l’assicurato, che ha assunto un ruolo di maggiore importanza ed ha lievemente incrementato il proprio impiego, presenta una CL massima del 60% (tempo ridotto rendimento pieno) per le mansioni affidategli presso l’attuale luogo di lavoro. Tale limitazione della capacità lavorativa è da attribuirsi esclusivamente all’ADHD e, quindi, sul piano temporale era presente anche in passato. (…)” (pag. 84 incarto AI). Per quanto riguarda la capacità in attività adeguate e casalinghe, il dr. __________ ha concluso: " (…) Per le considerazioni esposte in discussione, in questo specifico caso ritengo che, in un altro tipo di attività ma anche in un altro luogo di lavoro mantenendo lo stesso tipo di attività, il disturbo da deficit dell’attenzione rappresenterebbe un danno alla salute comportante una riduzione della capacità lavorativa, che stimerei del 40% (CL 40%: rendimento ridotto). Per questo non ritengo nemmeno utili interventi di integrazione professionale. Anche nell’attività equivalente a quella di casalinga sul piano medico teorico, ritengo che l’assicurato presenti una CL al massimo del 50%. (…)” (pag. 85 incarto AI) Avendo in seguito riscontrato l’esistenza di patologie somatiche, l’Ufficio AI ha ordinato una perizia multidisciplinare al SAM per valutare il grado d’incapacità lavorativa dell’assicu-rato sia nell’originaria che in altre attività lucrative. Dal rapporto datato 17 giugno 2016 (doc. AI 178) risulta che i periti hanno fatto capo a tre consultazioni specialistiche esterne, di natura psichiatrica (dr. __________), di natura reumatologica (dr. __________), neurologica (dr. __________), pneumologica (dr. __________) e neuropsicologica (dr. __________). Riportate le diagnosi invalidanti e non (cfr. punto no. 5 della perizia), tenuto conto dei singoli consulti specialistici, quanto alle conseguenze sulla capacità lavorativa nell’attuale attività lucrativa, i periti del SAM hanno concluso: " (…) La diminuzione della capacità lavorativa è dovuta in primis alla patologia psichiatrica con grave deficit dell’attenzione e della concentrazione, ridotta tolleranza allo stress, necessità di dover beneficiare di spazi autonomi per garantirsi il recupero delle energie psicofisiche. A livello reumatologico non può svolgere attività pesanti a mediamente pesanti o che richiedano sforzi fisici molto importanti anche di breve durata. A livello pneumologico l’A. deve evitare attività con sforzi fisici pesanti a medio-pesanti ed a contatto con agenti irritativi delle vie respiratorie. (…)” (pag. 224 incarto AI) L’assicurato è stato ritenuto, dal marzo 2015, abile al 60% nell’originaria attività di direttore di discoteca, barista e gerente. In attività adeguate i periti hanno parimenti valutato un’abilità del 60% (da intendersi quale diminuzione di lavoro durante la settimana, ma con rendimento pieno). In attività casalinghe la capacità è stata valutata nella misura del 50%. Con la decisione contestata l’Ufficio AI ha fatto riferimento alla valutazione del SAM concludente per un’abilità lavorativa del 60% sia nell’originaria attività che in altre attività adeguate. Ora, in sede di risposta di causa l’Ufficio AI, sottoposte al SMR le censure sollevate dal ricorrente in merito alle discrepanze tra le due perizie psichiatriche (già elencate durante l’incontro del 30 novembre 2016; cfr. il relativo verbale in doc. 97 incarto AI), ha fatto presente come il dr. __________, psichiatra e psicoterapeuta presso il SMR, nel rapporto finale del 7 giugno 2017 ha ritenuto “verosimili le inabilità in attività adatta e casalinga espresse dal CPAS in ragione della maggiore motivazione” (VIII/1). In effetti il succitato ha ritenuto che “… il disturbo da iperattività e deficit dell’attenzione riduce la capacità lavorativa in modo maggiore in un altro posto di lavoro in un’attività adatta ma anche mantenendo la stessa attività; infatti, in altro posto dovrebbe uniformarsi a regole diverse, verosimilmente senza gli stessi spazi autonomi di recupero che ha attualmente” (sottolineatura del redattore). Condividendo quanto riportato dal SMR, in attività adeguate l’assicurato è da ritenere abile al 40% dal febbraio 2014 e non al 60% come valutato dal SAM. Durante la procedura amministrativa l’assicurato ha prodotto una perizia psichiatrica (privata) del dr. __________ (pagg. 357 – 363 incarto AI) il quale aveva concluso per un’inabilità lavorativa del 50%, valutazione che, visto quanto sopra, risulta essere superata. Inoltre, tenuto conto che la stessa non è rilevante ai fini della presente vertenza, i relativi costi non devono essere rifusi dall’Ufficio AI (art. 78 cpv. 3 OAI e art. 45 cpv. 1 LPGA). Pertanto, sulla base di quanto riportato sopra, l’assicurato è da ritenere, con il grado della verosimiglianza preponderante valido nell'ambito delle assicurazioni sociali (DTF 139 V 218 consid. 5.3), inabile in qualsiasi attività da gennaio 2013, inabile al 50% da febbraio 2014 ed al 40% dal marzo 2015 nella sua abituale attività ed inabile al 60% in attività adeguate da febbraio 2014. Infine, riguardo al rapporto 30 agosto 2017 del dr. __________ prodotto pendente causa (doc. H), giustamente l’Ufficio AI ha fatto presente che tale atto, essendo successivo alla decisione impugnata (per costante giurisprudenza il giudice delle assicurazioni sociali, ai fini dell’esame della vertenza, si basa di regola sui fatti che si sono realizzati fino al momento della resa della decisione contestata; DTF 132 V 215 consid. 3.1.1 pag. 220 con riferimenti), verrà esaminato nel contesto del postulato e, come verrà detto al prossimo considerando, confermato rinvio. 2.7.   In merito all’aspetto economico, per correttamente valutare in quale attività (quella abituale o in altre adeguate al danno della salute) l’assicurato, in applicazione dell’obbligo di ridurre il danno (DTF 113 V 22 consid. 4a pag. 28; Landolt , Das Zumutbarkeitsprinzip im schweizerischen Sozialversicherungs-recht, tesi Zurigo 1995, pag. 296 segg.), metta a maggior frutto la sua residua capacità lavorativa, questo TCA condivide la necessità di un rinvio all’amministrazione, così come postulato con la risposta di causa. Questo per i seguenti motivi. 2.7.1.   In primo luogo occorre rilevare che nella decisione contestata quale reddito da valido, l’amministrazione ha preso in considerazione i dati statistici riguardanti le attività di servizi di ristorazione, senza tuttavia aver esaminato il salario che l’interessato percepiva prima del danno alla salute, ossia prima del mese di gennaio 2013. Va ricordato che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Ritornando al caso in esame, l’acquisizione dell’estratto del conto individuale dell’assicurato come proposto dall’ammini- strazione può essere utile. Secondo la giurisprudenza, infatti, generalmente i redditi da attività dipendente ed indipendente (a tal riguardo cfr. STF 8C_626/2011 del 29 marzo 2012 consid. 3) iscritti nel conto individuale possono costituire la base di determinazione del reddito da valido (anche da invalido: DTF 117 V 8 consid. 2c/aa). Spetta all’assicurato dimostrare che tali dati si discostano in maniera rilevante dalle effettive entrate (art. 25 OAI; STF 9C_111/2009 del 21 luglio 2009 con riferimento a SVR 1999 IVG nr. 24; STFA I 705/05 del 29 gennaio 2003 consid. 2.2.1.). Solo nel caso in cui l’Ufficio AI non riuscisse a ricostruire quanto l’assicurato effettivamente percepiva prima del danno alla salute, può utilizzare i dati salariali statistici.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Nella fattispecie concreta, con lo scopo di accertare il salario da invalido ora percepito dall’assicurato, rettamente l’Ufficio AI ritiene di richiedere all’attuale datore di lavoro (__________) un nuovo questionario, tenuto conto che quello agli atti, datato 21 giugno 2014, è precedente all’incremento lavorativo (da marzo 2015) illustrato al considerando precedente [ “Dal marzo 2015 l’assicurato, che ha assunto un ruolo di maggiore importanza ed ha lievemente incrementato il proprio impiego, presenta una CL massima del 60% (tempo ridotto rendimento pieno) per le mansioni affidategli presso l’attuale luogo di lavoro. cfr. perizia CPAS, pag. 84 incarto AI]; evidentemente a condizione che l’assicurato continui ad esercitare tale attività lucrativa. L’Ufficio AI dovrà poi far esaminare dal proprio Servizio d’integrazione professionale le attività adeguate ancora esercitabili dall’assicurato, così come rettamente evidenziato nella risposta di causa. A dipendenza dell’esito di tale accertamento, l’amministrazione procederà alla determinazione del reddito da invalido mediante l’utilizzo dei consueti dati statistici. Riguardo alla contestata riduzione del 5% del reddito da invalido per attività leggere applicata dall’amministrazione nella decisione contestata, questo TCA precisa già in questa sede che l’aiuto di un curatore non permette di riconoscere, come postulato in sede ricorsuale, un’ulteriore riduzione dal momento che tale circostanza non influenza la capacità lavorativa. Va poi fatto presente che nella perizia CPAS è stato ben evidenziato che le affezioni psichiche dell’assicurato sono la causa di una riduzione di rendimento in un’attività svolta a tempo pieno, circostanza che viene presa in considerazione nella fissazione della capacità lavorativa e pertanto non giustifica un’ulteriore riduzione del reddito da invalido per la stessa ragione (STF 9C_359/2014 del 5 settembre 2014 consid. 5.4; confermata in STF 9C_635/2016 del 14 dicembre 2016 consid. 4.3 e STF 9C_603/2015 del 25 aprile 2016 consid. 8.1). 2.8.   Il TCA, di norma, rinvia l’incarto all’Ufficio AI o perché vi sono accertamenti peritali svolti dall’amministrazione che necessitano di un complemento (“ Ergänzung von gutachtlichen Ausführungen ”; cfr. DTF 137 V 210; STCA 32.2011.107 del 27 ottobre 2011) , o perchè vi sono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Quest’ultimo è il caso in esame. In queste circostanze, richiamato il considerando precedente, appare giustificato rinviare gli atti all’Ufficio AI affinché proceda alla summenzionata valutazione economica, tenuto conto di quella medico-teorica (cfr. consid. 2.6). Ne consegue che il ricorso va accolto e la decisione impugnata annullata con retrocessione degli atti all’Ufficio AI affinché proceda agli accertamenti suindicati, i n esito ai quali emetterà una nuova decisione, preceduta da preavviso ex art. 57a LAI, in merito al diritto alla rendita successivamente al 1° luglio 2015. In quell’ambito, l’amministrazione si pronuncerà anche sulla richiesta di erogazione degli intessi di mora ex art. 26 cpv. 2 LPGA formulata dal ricorrente. 2.9. L’assicurato contesta inoltre il rifiuto deciso dall’Ufficio AI di poter beneficiare del gratuito patrocinio. Ai sensi dell’art. 37 cpv. 4 LPGA durante la procedura amministrativa, se le circostanze lo esigono, il richiedente può beneficiare del patrocinio gratuito. Sussiste il diritto all’assistenza giudiziaria con gratuito patrocinio senza limitazioni temporali quando sono dati i relativi presupposti (indigenza dell’istante, causa non palesemente priva di oggetto e necessità dell’assistenza da parte di un avvocato; cfr. Kieser, ATSG-Kommentar, Zurigo 2003, ad art. 37 n. 17 pag. 399).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(“…wenn auch eine Verbeiständung durch Verbandsvertreter, Fürsorger oder andere Fach- und Vertrauensleute sozialer Institutionen nicht in Betracht fällt “ DTF 125 V 34 consid. 2, 114 V 236 consid. 5b; cfr. STFA inedita 29 settembre 2005 nella causa G, I 369/05, consid. 2.2) . Il criterio per ammettere la necessità dell’assistenza di un legale nella procedura amministrativa va quindi verificato con severità (Kieser, op. cit., ad art. 37 n. 21 pag. 400; Pratique VSI 2000 p. 164; DTF 125 V 35s consid. 4b). Secondo questo TCA la fattispecie in esame non presenta elementi di particolare difficoltà giuridiche, visto che rientra nella consueta casistica di questo genere di problematiche. Alla luce di quanto esposto sopra, ribadito che le condizioni per ottenere il gratuito patrocinio in sede amministrativa sono più restrittive rispetto a quelle per valutare il diritto all’assi-stenza giudiziaria in sede di ricorso, l’amministrazione ha dunque rettamente ritenuto, alla luce della succitata giurisprudenza restrittiva, l’assistenza di un legale non necessaria (l’assicurato, prima dell’intervento dell’attuale legale, era assistito dal proprio curatore) e, di conseguenza, respinto la domanda di gratuito patrocinio, senza accertare l’eventuale indigenza dell’assicurato, né valutare se la causa fosse palesemente priva di successo.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dell’Ufficio AI. Al ricorrente, patrocinato da un legale, va riconosciuta un’indennità per ripetibili di fr. 2’000.-- (art. 61 cpv. 1 lett. g LPGA), ciò che rende priva di oggetto la domanda di assistenza giudiziaria per la procedura ricorsuale (DTF 124 V 309, consid. 6 e, tra le tante, STF 9C_335/2011 del 14 marzo 2012 consid. 5, STF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